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both"/>
        <w:rPr>
          <w:rFonts w:hint="eastAsia" w:ascii="宋体" w:hAnsi="宋体"/>
          <w:b/>
          <w:snapToGrid w:val="0"/>
          <w:spacing w:val="-24"/>
          <w:kern w:val="0"/>
          <w:sz w:val="36"/>
          <w:szCs w:val="36"/>
        </w:rPr>
      </w:pPr>
    </w:p>
    <w:p>
      <w:pPr>
        <w:adjustRightInd w:val="0"/>
        <w:snapToGrid w:val="0"/>
        <w:spacing w:line="300" w:lineRule="auto"/>
        <w:ind w:left="-170" w:hanging="170"/>
        <w:jc w:val="center"/>
        <w:rPr>
          <w:rFonts w:ascii="宋体" w:hAnsi="宋体"/>
          <w:b/>
          <w:snapToGrid w:val="0"/>
          <w:spacing w:val="-24"/>
          <w:kern w:val="0"/>
          <w:sz w:val="36"/>
          <w:szCs w:val="36"/>
        </w:rPr>
      </w:pPr>
      <w:r>
        <w:rPr>
          <w:rFonts w:hint="eastAsia" w:ascii="宋体" w:hAnsi="宋体"/>
          <w:b/>
          <w:snapToGrid w:val="0"/>
          <w:spacing w:val="-24"/>
          <w:kern w:val="0"/>
          <w:sz w:val="36"/>
          <w:szCs w:val="36"/>
        </w:rPr>
        <w:t>广东石油化工学院学生食堂大米、面粉及食用油</w:t>
      </w:r>
    </w:p>
    <w:p>
      <w:pPr>
        <w:adjustRightInd w:val="0"/>
        <w:snapToGrid w:val="0"/>
        <w:spacing w:line="300" w:lineRule="auto"/>
        <w:ind w:left="-170" w:hanging="170"/>
        <w:jc w:val="center"/>
        <w:rPr>
          <w:rFonts w:ascii="宋体" w:hAnsi="宋体"/>
          <w:b/>
          <w:snapToGrid w:val="0"/>
          <w:spacing w:val="-24"/>
          <w:kern w:val="0"/>
          <w:sz w:val="36"/>
          <w:szCs w:val="36"/>
        </w:rPr>
      </w:pPr>
      <w:r>
        <w:rPr>
          <w:rFonts w:hint="eastAsia" w:ascii="宋体" w:hAnsi="宋体"/>
          <w:b/>
          <w:snapToGrid w:val="0"/>
          <w:spacing w:val="-24"/>
          <w:kern w:val="0"/>
          <w:sz w:val="36"/>
          <w:szCs w:val="36"/>
        </w:rPr>
        <w:t>2016-2017年度协议供货采购招标项目</w:t>
      </w:r>
    </w:p>
    <w:p>
      <w:pPr>
        <w:adjustRightInd w:val="0"/>
        <w:snapToGrid w:val="0"/>
        <w:spacing w:line="300" w:lineRule="auto"/>
        <w:ind w:firstLine="1911" w:firstLineChars="595"/>
        <w:rPr>
          <w:rFonts w:ascii="宋体" w:hAnsi="宋体"/>
          <w:b/>
          <w:bCs/>
          <w:snapToGrid w:val="0"/>
          <w:kern w:val="0"/>
          <w:sz w:val="32"/>
          <w:szCs w:val="32"/>
        </w:rPr>
      </w:pPr>
      <w:r>
        <w:rPr>
          <w:rFonts w:hint="eastAsia"/>
          <w:b/>
          <w:bCs/>
          <w:sz w:val="32"/>
          <w:szCs w:val="32"/>
        </w:rPr>
        <w:t>采购编号： MMC2016A023T</w:t>
      </w:r>
    </w:p>
    <w:p>
      <w:pPr>
        <w:adjustRightInd w:val="0"/>
        <w:snapToGrid w:val="0"/>
        <w:spacing w:line="300" w:lineRule="auto"/>
        <w:rPr>
          <w:rFonts w:ascii="宋体" w:hAnsi="宋体"/>
          <w:snapToGrid w:val="0"/>
          <w:kern w:val="0"/>
          <w:sz w:val="44"/>
        </w:rPr>
      </w:pPr>
    </w:p>
    <w:p>
      <w:pPr>
        <w:adjustRightInd w:val="0"/>
        <w:snapToGrid w:val="0"/>
        <w:spacing w:line="300" w:lineRule="auto"/>
        <w:rPr>
          <w:rFonts w:ascii="宋体" w:hAnsi="宋体"/>
          <w:b/>
          <w:snapToGrid w:val="0"/>
          <w:kern w:val="0"/>
          <w:sz w:val="72"/>
        </w:rPr>
      </w:pPr>
    </w:p>
    <w:p>
      <w:pPr>
        <w:adjustRightInd w:val="0"/>
        <w:snapToGrid w:val="0"/>
        <w:spacing w:line="300" w:lineRule="auto"/>
        <w:jc w:val="center"/>
        <w:rPr>
          <w:rFonts w:ascii="宋体" w:hAnsi="宋体"/>
          <w:b/>
          <w:snapToGrid w:val="0"/>
          <w:kern w:val="0"/>
          <w:sz w:val="48"/>
          <w:szCs w:val="48"/>
        </w:rPr>
      </w:pPr>
      <w:r>
        <w:rPr>
          <w:rFonts w:hint="eastAsia" w:ascii="宋体" w:hAnsi="宋体"/>
          <w:b/>
          <w:snapToGrid w:val="0"/>
          <w:kern w:val="0"/>
          <w:sz w:val="48"/>
          <w:szCs w:val="48"/>
        </w:rPr>
        <w:t>采</w:t>
      </w:r>
    </w:p>
    <w:p>
      <w:pPr>
        <w:adjustRightInd w:val="0"/>
        <w:snapToGrid w:val="0"/>
        <w:spacing w:line="300" w:lineRule="auto"/>
        <w:jc w:val="center"/>
        <w:rPr>
          <w:rFonts w:ascii="宋体" w:hAnsi="宋体"/>
          <w:b/>
          <w:snapToGrid w:val="0"/>
          <w:kern w:val="0"/>
          <w:sz w:val="48"/>
          <w:szCs w:val="48"/>
        </w:rPr>
      </w:pPr>
    </w:p>
    <w:p>
      <w:pPr>
        <w:adjustRightInd w:val="0"/>
        <w:snapToGrid w:val="0"/>
        <w:spacing w:line="300" w:lineRule="auto"/>
        <w:jc w:val="center"/>
        <w:rPr>
          <w:rFonts w:ascii="宋体" w:hAnsi="宋体"/>
          <w:b/>
          <w:snapToGrid w:val="0"/>
          <w:kern w:val="0"/>
          <w:sz w:val="48"/>
          <w:szCs w:val="48"/>
        </w:rPr>
      </w:pPr>
      <w:r>
        <w:rPr>
          <w:rFonts w:hint="eastAsia" w:ascii="宋体" w:hAnsi="宋体"/>
          <w:b/>
          <w:snapToGrid w:val="0"/>
          <w:kern w:val="0"/>
          <w:sz w:val="48"/>
          <w:szCs w:val="48"/>
        </w:rPr>
        <w:t>购</w:t>
      </w:r>
    </w:p>
    <w:p>
      <w:pPr>
        <w:adjustRightInd w:val="0"/>
        <w:snapToGrid w:val="0"/>
        <w:spacing w:line="300" w:lineRule="auto"/>
        <w:jc w:val="center"/>
        <w:rPr>
          <w:rFonts w:ascii="宋体" w:hAnsi="宋体"/>
          <w:b/>
          <w:snapToGrid w:val="0"/>
          <w:kern w:val="0"/>
          <w:sz w:val="48"/>
          <w:szCs w:val="48"/>
        </w:rPr>
      </w:pPr>
    </w:p>
    <w:p>
      <w:pPr>
        <w:adjustRightInd w:val="0"/>
        <w:snapToGrid w:val="0"/>
        <w:spacing w:line="300" w:lineRule="auto"/>
        <w:jc w:val="center"/>
        <w:rPr>
          <w:rFonts w:ascii="宋体" w:hAnsi="宋体"/>
          <w:b/>
          <w:snapToGrid w:val="0"/>
          <w:kern w:val="0"/>
          <w:sz w:val="48"/>
          <w:szCs w:val="48"/>
        </w:rPr>
      </w:pPr>
      <w:r>
        <w:rPr>
          <w:rFonts w:hint="eastAsia" w:ascii="宋体" w:hAnsi="宋体"/>
          <w:b/>
          <w:snapToGrid w:val="0"/>
          <w:kern w:val="0"/>
          <w:sz w:val="48"/>
          <w:szCs w:val="48"/>
        </w:rPr>
        <w:t>文</w:t>
      </w:r>
    </w:p>
    <w:p>
      <w:pPr>
        <w:adjustRightInd w:val="0"/>
        <w:snapToGrid w:val="0"/>
        <w:spacing w:line="300" w:lineRule="auto"/>
        <w:jc w:val="center"/>
        <w:rPr>
          <w:rFonts w:ascii="宋体" w:hAnsi="宋体"/>
          <w:b/>
          <w:snapToGrid w:val="0"/>
          <w:kern w:val="0"/>
          <w:sz w:val="48"/>
          <w:szCs w:val="48"/>
        </w:rPr>
      </w:pPr>
    </w:p>
    <w:p>
      <w:pPr>
        <w:adjustRightInd w:val="0"/>
        <w:snapToGrid w:val="0"/>
        <w:spacing w:line="300" w:lineRule="auto"/>
        <w:jc w:val="center"/>
        <w:rPr>
          <w:rFonts w:ascii="宋体" w:hAnsi="宋体"/>
          <w:b/>
          <w:snapToGrid w:val="0"/>
          <w:kern w:val="0"/>
          <w:sz w:val="48"/>
          <w:szCs w:val="48"/>
        </w:rPr>
      </w:pPr>
      <w:r>
        <w:rPr>
          <w:rFonts w:hint="eastAsia" w:ascii="宋体" w:hAnsi="宋体"/>
          <w:b/>
          <w:snapToGrid w:val="0"/>
          <w:kern w:val="0"/>
          <w:sz w:val="48"/>
          <w:szCs w:val="48"/>
        </w:rPr>
        <w:t>件</w:t>
      </w:r>
    </w:p>
    <w:p>
      <w:pPr>
        <w:tabs>
          <w:tab w:val="left" w:pos="2520"/>
        </w:tabs>
        <w:adjustRightInd w:val="0"/>
        <w:snapToGrid w:val="0"/>
        <w:spacing w:line="300" w:lineRule="auto"/>
        <w:ind w:firstLine="1789" w:firstLineChars="495"/>
        <w:rPr>
          <w:rFonts w:ascii="宋体" w:hAnsi="宋体"/>
          <w:b/>
          <w:snapToGrid w:val="0"/>
          <w:kern w:val="0"/>
          <w:sz w:val="36"/>
        </w:rPr>
      </w:pPr>
    </w:p>
    <w:p>
      <w:pPr>
        <w:tabs>
          <w:tab w:val="left" w:pos="2520"/>
        </w:tabs>
        <w:adjustRightInd w:val="0"/>
        <w:snapToGrid w:val="0"/>
        <w:spacing w:line="300" w:lineRule="auto"/>
        <w:ind w:firstLine="1789" w:firstLineChars="495"/>
        <w:rPr>
          <w:rFonts w:ascii="宋体" w:hAnsi="宋体"/>
          <w:b/>
          <w:snapToGrid w:val="0"/>
          <w:kern w:val="0"/>
          <w:sz w:val="36"/>
        </w:rPr>
      </w:pPr>
    </w:p>
    <w:p>
      <w:pPr>
        <w:tabs>
          <w:tab w:val="left" w:pos="2520"/>
        </w:tabs>
        <w:adjustRightInd w:val="0"/>
        <w:snapToGrid w:val="0"/>
        <w:spacing w:line="300" w:lineRule="auto"/>
        <w:rPr>
          <w:rFonts w:ascii="宋体" w:hAnsi="宋体"/>
          <w:b/>
          <w:snapToGrid w:val="0"/>
          <w:kern w:val="0"/>
          <w:sz w:val="36"/>
        </w:rPr>
      </w:pPr>
    </w:p>
    <w:p>
      <w:pPr>
        <w:tabs>
          <w:tab w:val="left" w:pos="2520"/>
        </w:tabs>
        <w:adjustRightInd w:val="0"/>
        <w:snapToGrid w:val="0"/>
        <w:spacing w:line="300" w:lineRule="auto"/>
        <w:rPr>
          <w:rFonts w:ascii="宋体" w:hAnsi="宋体"/>
          <w:b/>
          <w:snapToGrid w:val="0"/>
          <w:kern w:val="0"/>
          <w:sz w:val="36"/>
        </w:rPr>
      </w:pPr>
    </w:p>
    <w:p>
      <w:pPr>
        <w:adjustRightInd w:val="0"/>
        <w:snapToGrid w:val="0"/>
        <w:spacing w:line="300" w:lineRule="auto"/>
        <w:jc w:val="center"/>
        <w:rPr>
          <w:rFonts w:ascii="宋体" w:hAnsi="宋体"/>
          <w:b/>
          <w:snapToGrid w:val="0"/>
          <w:kern w:val="0"/>
          <w:sz w:val="36"/>
        </w:rPr>
      </w:pPr>
    </w:p>
    <w:p>
      <w:pPr>
        <w:pStyle w:val="3"/>
        <w:adjustRightInd w:val="0"/>
        <w:snapToGrid w:val="0"/>
        <w:spacing w:line="300" w:lineRule="auto"/>
        <w:jc w:val="center"/>
        <w:rPr>
          <w:rFonts w:hAnsi="宋体"/>
          <w:b/>
          <w:snapToGrid w:val="0"/>
          <w:kern w:val="0"/>
          <w:sz w:val="30"/>
          <w:szCs w:val="30"/>
        </w:rPr>
      </w:pPr>
      <w:r>
        <w:rPr>
          <w:rFonts w:hint="eastAsia"/>
          <w:b/>
          <w:snapToGrid w:val="0"/>
          <w:kern w:val="0"/>
        </w:rPr>
        <w:t>广东石油化工学院招投标办公室</w:t>
      </w:r>
    </w:p>
    <w:p>
      <w:pPr>
        <w:pStyle w:val="3"/>
        <w:adjustRightInd w:val="0"/>
        <w:snapToGrid w:val="0"/>
        <w:spacing w:line="300" w:lineRule="auto"/>
        <w:jc w:val="center"/>
        <w:rPr>
          <w:rFonts w:hAnsi="宋体"/>
          <w:b/>
          <w:snapToGrid w:val="0"/>
          <w:kern w:val="0"/>
          <w:sz w:val="30"/>
          <w:szCs w:val="30"/>
        </w:rPr>
      </w:pPr>
      <w:r>
        <w:rPr>
          <w:rFonts w:hint="eastAsia" w:hAnsi="宋体"/>
          <w:b/>
          <w:snapToGrid w:val="0"/>
          <w:kern w:val="0"/>
          <w:sz w:val="30"/>
          <w:szCs w:val="30"/>
        </w:rPr>
        <w:t>二○一六年七月</w:t>
      </w:r>
    </w:p>
    <w:p/>
    <w:p>
      <w:pPr>
        <w:adjustRightInd w:val="0"/>
        <w:snapToGrid w:val="0"/>
        <w:spacing w:line="360" w:lineRule="auto"/>
        <w:jc w:val="both"/>
        <w:rPr>
          <w:rFonts w:hint="eastAsia"/>
          <w:b/>
          <w:snapToGrid w:val="0"/>
          <w:kern w:val="0"/>
          <w:sz w:val="30"/>
          <w:szCs w:val="30"/>
        </w:rPr>
      </w:pPr>
      <w:r>
        <w:rPr>
          <w:rFonts w:hint="eastAsia"/>
          <w:b/>
          <w:snapToGrid w:val="0"/>
          <w:kern w:val="0"/>
          <w:sz w:val="30"/>
          <w:szCs w:val="30"/>
        </w:rPr>
        <w:br w:type="page"/>
      </w:r>
    </w:p>
    <w:p>
      <w:pPr>
        <w:adjustRightInd w:val="0"/>
        <w:snapToGrid w:val="0"/>
        <w:spacing w:line="360" w:lineRule="auto"/>
        <w:ind w:firstLine="738" w:firstLineChars="245"/>
        <w:jc w:val="center"/>
        <w:rPr>
          <w:rFonts w:hint="eastAsia"/>
          <w:b/>
          <w:snapToGrid w:val="0"/>
          <w:kern w:val="0"/>
          <w:sz w:val="30"/>
          <w:szCs w:val="30"/>
        </w:rPr>
      </w:pPr>
      <w:r>
        <w:rPr>
          <w:rFonts w:hint="eastAsia"/>
          <w:b/>
          <w:snapToGrid w:val="0"/>
          <w:kern w:val="0"/>
          <w:sz w:val="30"/>
          <w:szCs w:val="30"/>
        </w:rPr>
        <w:t>广东石油化工学院学生食堂大米、面粉及食用油2015~2016年度协议供货采购公告</w:t>
      </w:r>
    </w:p>
    <w:p>
      <w:pPr>
        <w:adjustRightInd w:val="0"/>
        <w:snapToGrid w:val="0"/>
        <w:spacing w:line="460" w:lineRule="exact"/>
        <w:ind w:firstLine="590" w:firstLineChars="245"/>
        <w:rPr>
          <w:b/>
          <w:snapToGrid w:val="0"/>
          <w:kern w:val="0"/>
          <w:sz w:val="24"/>
          <w:szCs w:val="24"/>
          <w:u w:val="single"/>
        </w:rPr>
      </w:pPr>
      <w:r>
        <w:rPr>
          <w:rFonts w:hint="eastAsia"/>
          <w:b/>
          <w:snapToGrid w:val="0"/>
          <w:kern w:val="0"/>
          <w:sz w:val="24"/>
          <w:szCs w:val="24"/>
          <w:u w:val="single"/>
        </w:rPr>
        <w:t>广东石油化工学院学生食堂大米、面粉及食用油采购2016-2017年度协议供货采购招标项目</w:t>
      </w:r>
      <w:r>
        <w:rPr>
          <w:rFonts w:hint="eastAsia"/>
          <w:snapToGrid w:val="0"/>
          <w:kern w:val="0"/>
          <w:sz w:val="24"/>
          <w:szCs w:val="24"/>
        </w:rPr>
        <w:t>拟通过公开招标方式确定协议供货单位。有意向的单位可以前来咨询有关信息，报名投标。</w:t>
      </w:r>
    </w:p>
    <w:p>
      <w:pPr>
        <w:adjustRightInd w:val="0"/>
        <w:snapToGrid w:val="0"/>
        <w:spacing w:line="460" w:lineRule="exact"/>
        <w:ind w:firstLine="588" w:firstLineChars="245"/>
        <w:rPr>
          <w:sz w:val="24"/>
          <w:szCs w:val="24"/>
        </w:rPr>
      </w:pPr>
      <w:r>
        <w:rPr>
          <w:rFonts w:hint="eastAsia"/>
          <w:snapToGrid w:val="0"/>
          <w:kern w:val="0"/>
          <w:sz w:val="24"/>
          <w:szCs w:val="24"/>
        </w:rPr>
        <w:t>一、招标内容：</w:t>
      </w:r>
      <w:r>
        <w:rPr>
          <w:rFonts w:hint="eastAsia"/>
          <w:b/>
          <w:snapToGrid w:val="0"/>
          <w:kern w:val="0"/>
          <w:sz w:val="24"/>
          <w:szCs w:val="24"/>
          <w:u w:val="single"/>
        </w:rPr>
        <w:t>包三：高筋面粉，包四：低筋面粉面粉，包五：食用油的年度协议供货商</w:t>
      </w:r>
    </w:p>
    <w:p>
      <w:pPr>
        <w:adjustRightInd w:val="0"/>
        <w:snapToGrid w:val="0"/>
        <w:spacing w:line="460" w:lineRule="exact"/>
        <w:ind w:firstLine="588" w:firstLineChars="245"/>
        <w:rPr>
          <w:snapToGrid w:val="0"/>
          <w:kern w:val="0"/>
          <w:sz w:val="24"/>
          <w:szCs w:val="24"/>
        </w:rPr>
      </w:pPr>
      <w:r>
        <w:rPr>
          <w:rFonts w:hint="eastAsia"/>
          <w:snapToGrid w:val="0"/>
          <w:kern w:val="0"/>
          <w:sz w:val="24"/>
          <w:szCs w:val="24"/>
        </w:rPr>
        <w:t>二、投标人应具备以下条件（带*号为必须满足条件）：</w:t>
      </w:r>
    </w:p>
    <w:p>
      <w:pPr>
        <w:adjustRightInd w:val="0"/>
        <w:snapToGrid w:val="0"/>
        <w:spacing w:line="460" w:lineRule="exact"/>
        <w:ind w:firstLine="588" w:firstLineChars="245"/>
        <w:rPr>
          <w:snapToGrid w:val="0"/>
          <w:kern w:val="0"/>
          <w:sz w:val="24"/>
          <w:szCs w:val="24"/>
        </w:rPr>
      </w:pPr>
      <w:r>
        <w:rPr>
          <w:rFonts w:hint="eastAsia"/>
          <w:snapToGrid w:val="0"/>
          <w:kern w:val="0"/>
          <w:sz w:val="24"/>
          <w:szCs w:val="24"/>
        </w:rPr>
        <w:t>1、在中华人民共和国境内注册的企业法人或其他组织，具备有效的营业执照、税务登记证；</w:t>
      </w:r>
    </w:p>
    <w:p>
      <w:pPr>
        <w:adjustRightInd w:val="0"/>
        <w:snapToGrid w:val="0"/>
        <w:spacing w:line="460" w:lineRule="exact"/>
        <w:ind w:firstLine="588" w:firstLineChars="245"/>
        <w:rPr>
          <w:snapToGrid w:val="0"/>
          <w:kern w:val="0"/>
          <w:sz w:val="24"/>
          <w:szCs w:val="24"/>
        </w:rPr>
      </w:pPr>
      <w:r>
        <w:rPr>
          <w:rFonts w:hint="eastAsia"/>
          <w:snapToGrid w:val="0"/>
          <w:kern w:val="0"/>
          <w:sz w:val="24"/>
          <w:szCs w:val="24"/>
        </w:rPr>
        <w:t>2、投标人如果是生产加工企业须具备食品卫生许可证、销售许可证和食品QS质量体系认证等有效证书；经销商投标应具有面粉（包三、包四）食用油（包五）批发或零售经营范围</w:t>
      </w:r>
    </w:p>
    <w:p>
      <w:pPr>
        <w:adjustRightInd w:val="0"/>
        <w:snapToGrid w:val="0"/>
        <w:spacing w:line="460" w:lineRule="exact"/>
        <w:ind w:firstLine="590" w:firstLineChars="245"/>
        <w:rPr>
          <w:b/>
          <w:snapToGrid w:val="0"/>
          <w:kern w:val="0"/>
          <w:sz w:val="24"/>
          <w:szCs w:val="24"/>
        </w:rPr>
      </w:pPr>
      <w:r>
        <w:rPr>
          <w:rFonts w:hint="eastAsia"/>
          <w:b/>
          <w:snapToGrid w:val="0"/>
          <w:kern w:val="0"/>
          <w:sz w:val="24"/>
          <w:szCs w:val="24"/>
        </w:rPr>
        <w:t>3、*投标单位必须有对公账户，能转账付款。</w:t>
      </w:r>
    </w:p>
    <w:p>
      <w:pPr>
        <w:adjustRightInd w:val="0"/>
        <w:snapToGrid w:val="0"/>
        <w:spacing w:line="460" w:lineRule="exact"/>
        <w:ind w:firstLine="588" w:firstLineChars="245"/>
        <w:rPr>
          <w:snapToGrid w:val="0"/>
          <w:kern w:val="0"/>
          <w:sz w:val="24"/>
          <w:szCs w:val="24"/>
        </w:rPr>
      </w:pPr>
      <w:r>
        <w:rPr>
          <w:rFonts w:hint="eastAsia"/>
          <w:snapToGrid w:val="0"/>
          <w:kern w:val="0"/>
          <w:sz w:val="24"/>
          <w:szCs w:val="24"/>
        </w:rPr>
        <w:t>4、具有长期供货能力；</w:t>
      </w:r>
    </w:p>
    <w:p>
      <w:pPr>
        <w:adjustRightInd w:val="0"/>
        <w:snapToGrid w:val="0"/>
        <w:spacing w:line="460" w:lineRule="exact"/>
        <w:ind w:firstLine="588" w:firstLineChars="245"/>
        <w:rPr>
          <w:snapToGrid w:val="0"/>
          <w:kern w:val="0"/>
          <w:sz w:val="24"/>
          <w:szCs w:val="24"/>
        </w:rPr>
      </w:pPr>
      <w:r>
        <w:rPr>
          <w:rFonts w:hint="eastAsia"/>
          <w:snapToGrid w:val="0"/>
          <w:kern w:val="0"/>
          <w:sz w:val="24"/>
          <w:szCs w:val="24"/>
        </w:rPr>
        <w:t>三、报名要求：投标人报名时必须提供有效企业营业执照、税务登记证、组织机构代码证等复印件，（生产商投标还要提供：食品卫生许可证、销售许可证和食品QS质量体系认证等有效证书）。</w:t>
      </w:r>
    </w:p>
    <w:p>
      <w:pPr>
        <w:spacing w:line="440" w:lineRule="exact"/>
        <w:rPr>
          <w:sz w:val="24"/>
          <w:szCs w:val="24"/>
        </w:rPr>
      </w:pPr>
      <w:r>
        <w:rPr>
          <w:rFonts w:hint="eastAsia"/>
          <w:sz w:val="24"/>
          <w:szCs w:val="24"/>
        </w:rPr>
        <w:t xml:space="preserve">     四、报名时间：2016年7月 </w:t>
      </w:r>
      <w:r>
        <w:rPr>
          <w:rFonts w:hint="eastAsia"/>
          <w:sz w:val="24"/>
          <w:szCs w:val="24"/>
          <w:lang w:val="en-US" w:eastAsia="zh-CN"/>
        </w:rPr>
        <w:t>26</w:t>
      </w:r>
      <w:r>
        <w:rPr>
          <w:rFonts w:hint="eastAsia"/>
          <w:sz w:val="24"/>
          <w:szCs w:val="24"/>
        </w:rPr>
        <w:t xml:space="preserve"> 日至 </w:t>
      </w:r>
      <w:r>
        <w:rPr>
          <w:rFonts w:hint="eastAsia"/>
          <w:sz w:val="24"/>
          <w:szCs w:val="24"/>
          <w:lang w:val="en-US" w:eastAsia="zh-CN"/>
        </w:rPr>
        <w:t>8</w:t>
      </w:r>
      <w:r>
        <w:rPr>
          <w:rFonts w:hint="eastAsia"/>
          <w:sz w:val="24"/>
          <w:szCs w:val="24"/>
        </w:rPr>
        <w:t xml:space="preserve"> 月 </w:t>
      </w:r>
      <w:r>
        <w:rPr>
          <w:rFonts w:hint="eastAsia"/>
          <w:sz w:val="24"/>
          <w:szCs w:val="24"/>
          <w:lang w:val="en-US" w:eastAsia="zh-CN"/>
        </w:rPr>
        <w:t>4</w:t>
      </w:r>
      <w:r>
        <w:rPr>
          <w:rFonts w:hint="eastAsia"/>
          <w:sz w:val="24"/>
          <w:szCs w:val="24"/>
        </w:rPr>
        <w:t>日（节假日除外）上班时间。</w:t>
      </w:r>
    </w:p>
    <w:p>
      <w:pPr>
        <w:spacing w:line="440" w:lineRule="exact"/>
        <w:rPr>
          <w:sz w:val="24"/>
          <w:szCs w:val="24"/>
        </w:rPr>
      </w:pPr>
      <w:r>
        <w:rPr>
          <w:rFonts w:hint="eastAsia"/>
          <w:sz w:val="24"/>
          <w:szCs w:val="24"/>
        </w:rPr>
        <w:t>五、报名地点：广东石油化工学院招标投标办公室（学校综合办公楼70</w:t>
      </w:r>
      <w:r>
        <w:rPr>
          <w:rFonts w:hint="eastAsia"/>
          <w:sz w:val="24"/>
          <w:szCs w:val="24"/>
          <w:lang w:val="en-US" w:eastAsia="zh-CN"/>
        </w:rPr>
        <w:t>7</w:t>
      </w:r>
      <w:r>
        <w:rPr>
          <w:rFonts w:hint="eastAsia"/>
          <w:sz w:val="24"/>
          <w:szCs w:val="24"/>
        </w:rPr>
        <w:t xml:space="preserve">室） </w:t>
      </w:r>
    </w:p>
    <w:p>
      <w:pPr>
        <w:spacing w:line="440" w:lineRule="exact"/>
        <w:rPr>
          <w:sz w:val="24"/>
          <w:szCs w:val="24"/>
        </w:rPr>
      </w:pPr>
      <w:r>
        <w:rPr>
          <w:rFonts w:hint="eastAsia"/>
          <w:sz w:val="24"/>
          <w:szCs w:val="24"/>
        </w:rPr>
        <w:t>六、报名联系人：李老师、陈老师</w:t>
      </w:r>
    </w:p>
    <w:p>
      <w:pPr>
        <w:spacing w:line="440" w:lineRule="exact"/>
        <w:rPr>
          <w:sz w:val="24"/>
          <w:szCs w:val="24"/>
        </w:rPr>
      </w:pPr>
      <w:r>
        <w:rPr>
          <w:rFonts w:hint="eastAsia"/>
          <w:sz w:val="24"/>
          <w:szCs w:val="24"/>
        </w:rPr>
        <w:t>七、联系电话：0668-2923877、2923383</w:t>
      </w:r>
    </w:p>
    <w:p>
      <w:pPr>
        <w:spacing w:line="440" w:lineRule="exact"/>
        <w:rPr>
          <w:sz w:val="24"/>
          <w:szCs w:val="24"/>
        </w:rPr>
      </w:pPr>
      <w:r>
        <w:rPr>
          <w:rFonts w:hint="eastAsia"/>
          <w:sz w:val="24"/>
          <w:szCs w:val="24"/>
        </w:rPr>
        <w:t>八、递交报价文件时间：2016年</w:t>
      </w:r>
      <w:r>
        <w:rPr>
          <w:rFonts w:hint="eastAsia"/>
          <w:sz w:val="24"/>
          <w:szCs w:val="24"/>
          <w:lang w:val="en-US" w:eastAsia="zh-CN"/>
        </w:rPr>
        <w:t>8</w:t>
      </w:r>
      <w:r>
        <w:rPr>
          <w:rFonts w:hint="eastAsia"/>
          <w:sz w:val="24"/>
          <w:szCs w:val="24"/>
        </w:rPr>
        <w:t>月</w:t>
      </w:r>
      <w:r>
        <w:rPr>
          <w:rFonts w:hint="eastAsia"/>
          <w:sz w:val="24"/>
          <w:szCs w:val="24"/>
          <w:lang w:val="en-US" w:eastAsia="zh-CN"/>
        </w:rPr>
        <w:t>9</w:t>
      </w:r>
      <w:r>
        <w:rPr>
          <w:rFonts w:hint="eastAsia"/>
          <w:sz w:val="24"/>
          <w:szCs w:val="24"/>
        </w:rPr>
        <w:t>日</w:t>
      </w:r>
      <w:r>
        <w:rPr>
          <w:rFonts w:hint="eastAsia"/>
          <w:sz w:val="24"/>
          <w:szCs w:val="24"/>
          <w:lang w:eastAsia="zh-CN"/>
        </w:rPr>
        <w:t>上</w:t>
      </w:r>
      <w:r>
        <w:rPr>
          <w:rFonts w:hint="eastAsia"/>
          <w:sz w:val="24"/>
          <w:szCs w:val="24"/>
        </w:rPr>
        <w:t>午</w:t>
      </w:r>
      <w:r>
        <w:rPr>
          <w:rFonts w:hint="eastAsia"/>
          <w:sz w:val="24"/>
          <w:szCs w:val="24"/>
          <w:lang w:val="en-US" w:eastAsia="zh-CN"/>
        </w:rPr>
        <w:t>9</w:t>
      </w:r>
      <w:r>
        <w:rPr>
          <w:rFonts w:hint="eastAsia"/>
          <w:sz w:val="24"/>
          <w:szCs w:val="24"/>
        </w:rPr>
        <w:t>:</w:t>
      </w:r>
      <w:r>
        <w:rPr>
          <w:rFonts w:hint="eastAsia"/>
          <w:sz w:val="24"/>
          <w:szCs w:val="24"/>
          <w:lang w:val="en-US" w:eastAsia="zh-CN"/>
        </w:rPr>
        <w:t xml:space="preserve"> 0</w:t>
      </w:r>
      <w:r>
        <w:rPr>
          <w:rFonts w:hint="eastAsia"/>
          <w:sz w:val="24"/>
          <w:szCs w:val="24"/>
        </w:rPr>
        <w:t>0--</w:t>
      </w:r>
      <w:r>
        <w:rPr>
          <w:rFonts w:hint="eastAsia"/>
          <w:sz w:val="24"/>
          <w:szCs w:val="24"/>
          <w:lang w:val="en-US" w:eastAsia="zh-CN"/>
        </w:rPr>
        <w:t>9</w:t>
      </w:r>
      <w:r>
        <w:rPr>
          <w:rFonts w:hint="eastAsia"/>
          <w:sz w:val="24"/>
          <w:szCs w:val="24"/>
        </w:rPr>
        <w:t>:</w:t>
      </w:r>
      <w:r>
        <w:rPr>
          <w:rFonts w:hint="eastAsia"/>
          <w:sz w:val="24"/>
          <w:szCs w:val="24"/>
          <w:lang w:val="en-US" w:eastAsia="zh-CN"/>
        </w:rPr>
        <w:t>3</w:t>
      </w:r>
      <w:r>
        <w:rPr>
          <w:rFonts w:hint="eastAsia"/>
          <w:sz w:val="24"/>
          <w:szCs w:val="24"/>
        </w:rPr>
        <w:t>0</w:t>
      </w:r>
    </w:p>
    <w:p>
      <w:pPr>
        <w:spacing w:line="440" w:lineRule="exact"/>
        <w:rPr>
          <w:sz w:val="24"/>
          <w:szCs w:val="24"/>
        </w:rPr>
      </w:pPr>
      <w:r>
        <w:rPr>
          <w:rFonts w:hint="eastAsia"/>
          <w:sz w:val="24"/>
          <w:szCs w:val="24"/>
        </w:rPr>
        <w:t>九、项目评审时间：2016年</w:t>
      </w:r>
      <w:r>
        <w:rPr>
          <w:rFonts w:hint="eastAsia"/>
          <w:sz w:val="24"/>
          <w:szCs w:val="24"/>
          <w:lang w:val="en-US" w:eastAsia="zh-CN"/>
        </w:rPr>
        <w:t>8</w:t>
      </w:r>
      <w:r>
        <w:rPr>
          <w:rFonts w:hint="eastAsia"/>
          <w:sz w:val="24"/>
          <w:szCs w:val="24"/>
        </w:rPr>
        <w:t xml:space="preserve">月 </w:t>
      </w:r>
      <w:r>
        <w:rPr>
          <w:rFonts w:hint="eastAsia"/>
          <w:sz w:val="24"/>
          <w:szCs w:val="24"/>
          <w:lang w:val="en-US" w:eastAsia="zh-CN"/>
        </w:rPr>
        <w:t>9</w:t>
      </w:r>
      <w:r>
        <w:rPr>
          <w:rFonts w:hint="eastAsia"/>
          <w:sz w:val="24"/>
          <w:szCs w:val="24"/>
        </w:rPr>
        <w:t xml:space="preserve"> 日</w:t>
      </w:r>
      <w:r>
        <w:rPr>
          <w:rFonts w:hint="eastAsia"/>
          <w:sz w:val="24"/>
          <w:szCs w:val="24"/>
          <w:lang w:eastAsia="zh-CN"/>
        </w:rPr>
        <w:t>上</w:t>
      </w:r>
      <w:bookmarkStart w:id="0" w:name="_GoBack"/>
      <w:bookmarkEnd w:id="0"/>
      <w:r>
        <w:rPr>
          <w:rFonts w:hint="eastAsia"/>
          <w:sz w:val="24"/>
          <w:szCs w:val="24"/>
        </w:rPr>
        <w:t>午</w:t>
      </w:r>
      <w:r>
        <w:rPr>
          <w:rFonts w:hint="eastAsia"/>
          <w:sz w:val="24"/>
          <w:szCs w:val="24"/>
          <w:lang w:val="en-US" w:eastAsia="zh-CN"/>
        </w:rPr>
        <w:t>9</w:t>
      </w:r>
      <w:r>
        <w:rPr>
          <w:rFonts w:hint="eastAsia"/>
          <w:sz w:val="24"/>
          <w:szCs w:val="24"/>
        </w:rPr>
        <w:t>:</w:t>
      </w:r>
      <w:r>
        <w:rPr>
          <w:rFonts w:hint="eastAsia"/>
          <w:sz w:val="24"/>
          <w:szCs w:val="24"/>
          <w:lang w:val="en-US" w:eastAsia="zh-CN"/>
        </w:rPr>
        <w:t>3</w:t>
      </w:r>
      <w:r>
        <w:rPr>
          <w:rFonts w:hint="eastAsia"/>
          <w:sz w:val="24"/>
          <w:szCs w:val="24"/>
        </w:rPr>
        <w:t>0</w:t>
      </w:r>
    </w:p>
    <w:p>
      <w:pPr>
        <w:spacing w:line="440" w:lineRule="exact"/>
        <w:rPr>
          <w:sz w:val="24"/>
          <w:szCs w:val="24"/>
        </w:rPr>
      </w:pPr>
      <w:r>
        <w:rPr>
          <w:rFonts w:hint="eastAsia"/>
          <w:sz w:val="24"/>
          <w:szCs w:val="24"/>
        </w:rPr>
        <w:t>十、项目评审地点：</w:t>
      </w:r>
      <w:r>
        <w:rPr>
          <w:rFonts w:hint="eastAsia" w:ascii="宋体" w:hAnsi="宋体"/>
          <w:sz w:val="24"/>
          <w:szCs w:val="24"/>
        </w:rPr>
        <w:t>广东石油化工学院</w:t>
      </w:r>
      <w:r>
        <w:rPr>
          <w:rFonts w:ascii="宋体" w:hAnsi="宋体"/>
          <w:sz w:val="24"/>
          <w:szCs w:val="24"/>
        </w:rPr>
        <w:t>综合办公楼7</w:t>
      </w:r>
      <w:r>
        <w:rPr>
          <w:rFonts w:hint="eastAsia" w:ascii="宋体" w:hAnsi="宋体"/>
          <w:sz w:val="24"/>
          <w:szCs w:val="24"/>
        </w:rPr>
        <w:t>04</w:t>
      </w:r>
      <w:r>
        <w:rPr>
          <w:rFonts w:ascii="宋体" w:hAnsi="宋体"/>
          <w:sz w:val="24"/>
          <w:szCs w:val="24"/>
        </w:rPr>
        <w:t>室</w:t>
      </w:r>
      <w:r>
        <w:rPr>
          <w:rFonts w:hint="eastAsia"/>
          <w:sz w:val="24"/>
          <w:szCs w:val="24"/>
        </w:rPr>
        <w:t>。</w:t>
      </w:r>
    </w:p>
    <w:p>
      <w:pPr>
        <w:widowControl/>
        <w:tabs>
          <w:tab w:val="left" w:pos="735"/>
          <w:tab w:val="left" w:pos="916"/>
          <w:tab w:val="left" w:pos="1832"/>
          <w:tab w:val="left" w:pos="25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3990" w:leftChars="1900"/>
        <w:jc w:val="right"/>
        <w:rPr>
          <w:snapToGrid w:val="0"/>
          <w:kern w:val="0"/>
          <w:sz w:val="24"/>
          <w:szCs w:val="24"/>
        </w:rPr>
      </w:pPr>
    </w:p>
    <w:p>
      <w:pPr>
        <w:widowControl/>
        <w:tabs>
          <w:tab w:val="left" w:pos="735"/>
          <w:tab w:val="left" w:pos="916"/>
          <w:tab w:val="left" w:pos="1832"/>
          <w:tab w:val="left" w:pos="25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3990" w:leftChars="1900"/>
        <w:jc w:val="right"/>
        <w:rPr>
          <w:snapToGrid w:val="0"/>
          <w:kern w:val="0"/>
          <w:sz w:val="24"/>
          <w:szCs w:val="24"/>
        </w:rPr>
      </w:pPr>
    </w:p>
    <w:p>
      <w:pPr>
        <w:widowControl/>
        <w:tabs>
          <w:tab w:val="left" w:pos="735"/>
          <w:tab w:val="left" w:pos="916"/>
          <w:tab w:val="left" w:pos="1832"/>
          <w:tab w:val="left" w:pos="25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3990" w:leftChars="1900"/>
        <w:jc w:val="right"/>
        <w:rPr>
          <w:snapToGrid w:val="0"/>
          <w:kern w:val="0"/>
          <w:sz w:val="24"/>
          <w:szCs w:val="24"/>
        </w:rPr>
      </w:pPr>
      <w:r>
        <w:rPr>
          <w:rFonts w:hint="eastAsia"/>
          <w:snapToGrid w:val="0"/>
          <w:kern w:val="0"/>
          <w:sz w:val="24"/>
          <w:szCs w:val="24"/>
        </w:rPr>
        <w:t>广东石油化工学院招标投标工作办公室</w:t>
      </w:r>
    </w:p>
    <w:p>
      <w:pPr>
        <w:widowControl/>
        <w:tabs>
          <w:tab w:val="left" w:pos="735"/>
          <w:tab w:val="left" w:pos="916"/>
          <w:tab w:val="left" w:pos="1832"/>
          <w:tab w:val="left" w:pos="25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680" w:firstLineChars="1950"/>
        <w:rPr>
          <w:rFonts w:ascii="宋体" w:hAnsi="宋体"/>
          <w:b/>
          <w:sz w:val="28"/>
          <w:szCs w:val="28"/>
        </w:rPr>
      </w:pPr>
      <w:r>
        <w:rPr>
          <w:rFonts w:hint="eastAsia"/>
          <w:snapToGrid w:val="0"/>
          <w:kern w:val="0"/>
          <w:sz w:val="24"/>
          <w:szCs w:val="24"/>
        </w:rPr>
        <w:t xml:space="preserve">      </w:t>
      </w:r>
      <w:r>
        <w:rPr>
          <w:rFonts w:hint="eastAsia"/>
          <w:snapToGrid w:val="0"/>
          <w:kern w:val="0"/>
          <w:sz w:val="24"/>
          <w:szCs w:val="24"/>
          <w:lang w:val="en-US" w:eastAsia="zh-CN"/>
        </w:rPr>
        <w:t>2016</w:t>
      </w:r>
      <w:r>
        <w:rPr>
          <w:rFonts w:hint="eastAsia"/>
          <w:snapToGrid w:val="0"/>
          <w:kern w:val="0"/>
          <w:sz w:val="24"/>
          <w:szCs w:val="24"/>
        </w:rPr>
        <w:t>年</w:t>
      </w:r>
      <w:r>
        <w:rPr>
          <w:rFonts w:hint="eastAsia"/>
          <w:snapToGrid w:val="0"/>
          <w:kern w:val="0"/>
          <w:sz w:val="24"/>
          <w:szCs w:val="24"/>
          <w:lang w:val="en-US" w:eastAsia="zh-CN"/>
        </w:rPr>
        <w:t>7</w:t>
      </w:r>
      <w:r>
        <w:rPr>
          <w:rFonts w:hint="eastAsia"/>
          <w:snapToGrid w:val="0"/>
          <w:kern w:val="0"/>
          <w:sz w:val="24"/>
          <w:szCs w:val="24"/>
        </w:rPr>
        <w:t>月</w:t>
      </w:r>
      <w:r>
        <w:rPr>
          <w:rFonts w:hint="eastAsia"/>
          <w:snapToGrid w:val="0"/>
          <w:kern w:val="0"/>
          <w:sz w:val="24"/>
          <w:szCs w:val="24"/>
          <w:lang w:val="en-US" w:eastAsia="zh-CN"/>
        </w:rPr>
        <w:t>26</w:t>
      </w:r>
      <w:r>
        <w:rPr>
          <w:rFonts w:hint="eastAsia"/>
          <w:snapToGrid w:val="0"/>
          <w:kern w:val="0"/>
          <w:sz w:val="24"/>
          <w:szCs w:val="24"/>
        </w:rPr>
        <w:t>日</w:t>
      </w:r>
    </w:p>
    <w:p>
      <w:pPr>
        <w:jc w:val="center"/>
        <w:rPr>
          <w:rFonts w:ascii="宋体" w:hAnsi="宋体"/>
          <w:b/>
          <w:sz w:val="32"/>
          <w:szCs w:val="32"/>
        </w:rPr>
      </w:pPr>
      <w:r>
        <w:rPr>
          <w:rFonts w:hint="eastAsia" w:ascii="宋体" w:hAnsi="宋体"/>
          <w:b/>
          <w:sz w:val="32"/>
          <w:szCs w:val="32"/>
        </w:rPr>
        <w:br w:type="page"/>
      </w:r>
      <w:r>
        <w:rPr>
          <w:rFonts w:hint="eastAsia" w:ascii="宋体" w:hAnsi="宋体"/>
          <w:b/>
          <w:sz w:val="32"/>
          <w:szCs w:val="32"/>
        </w:rPr>
        <w:t>第一部分 投标须知</w:t>
      </w:r>
    </w:p>
    <w:p>
      <w:pPr>
        <w:spacing w:line="360" w:lineRule="auto"/>
        <w:jc w:val="center"/>
        <w:rPr>
          <w:b/>
          <w:bCs/>
          <w:sz w:val="32"/>
        </w:rPr>
      </w:pPr>
    </w:p>
    <w:p>
      <w:pPr>
        <w:spacing w:line="360" w:lineRule="auto"/>
        <w:ind w:firstLine="480" w:firstLineChars="200"/>
        <w:rPr>
          <w:sz w:val="24"/>
        </w:rPr>
      </w:pPr>
      <w:r>
        <w:rPr>
          <w:rFonts w:hint="eastAsia"/>
          <w:sz w:val="24"/>
        </w:rPr>
        <w:t>一、适用范围：</w:t>
      </w:r>
    </w:p>
    <w:p>
      <w:pPr>
        <w:spacing w:line="360" w:lineRule="auto"/>
        <w:ind w:firstLine="480" w:firstLineChars="200"/>
        <w:rPr>
          <w:sz w:val="24"/>
        </w:rPr>
      </w:pPr>
      <w:r>
        <w:rPr>
          <w:rFonts w:hint="eastAsia"/>
          <w:sz w:val="24"/>
        </w:rPr>
        <w:t>1、本招标文件仅适用于后勤服务与管理处饮食管理中心大米、面粉及食用油采购招标公告的内容；</w:t>
      </w:r>
    </w:p>
    <w:p>
      <w:pPr>
        <w:spacing w:line="360" w:lineRule="auto"/>
        <w:ind w:firstLine="482" w:firstLineChars="200"/>
        <w:rPr>
          <w:b/>
          <w:sz w:val="24"/>
        </w:rPr>
      </w:pPr>
      <w:r>
        <w:rPr>
          <w:rFonts w:hint="eastAsia"/>
          <w:b/>
          <w:sz w:val="24"/>
        </w:rPr>
        <w:t>2、本次项目招合格投标供应商的供货资格。</w:t>
      </w:r>
    </w:p>
    <w:p>
      <w:pPr>
        <w:spacing w:line="360" w:lineRule="auto"/>
        <w:ind w:firstLine="480" w:firstLineChars="200"/>
        <w:rPr>
          <w:sz w:val="24"/>
        </w:rPr>
      </w:pPr>
      <w:r>
        <w:rPr>
          <w:rFonts w:hint="eastAsia"/>
          <w:sz w:val="24"/>
        </w:rPr>
        <w:t>二、合格的投标人：</w:t>
      </w:r>
    </w:p>
    <w:p>
      <w:pPr>
        <w:adjustRightInd w:val="0"/>
        <w:snapToGrid w:val="0"/>
        <w:spacing w:line="460" w:lineRule="exact"/>
        <w:ind w:firstLine="588" w:firstLineChars="245"/>
        <w:rPr>
          <w:snapToGrid w:val="0"/>
          <w:kern w:val="0"/>
          <w:sz w:val="24"/>
        </w:rPr>
      </w:pPr>
      <w:r>
        <w:rPr>
          <w:rFonts w:hint="eastAsia"/>
          <w:snapToGrid w:val="0"/>
          <w:kern w:val="0"/>
          <w:sz w:val="24"/>
        </w:rPr>
        <w:t>1、在中华人民共和国境内注册的企业法人或其他组织，具备有效的营业执照、税务登记证；</w:t>
      </w:r>
    </w:p>
    <w:p>
      <w:pPr>
        <w:adjustRightInd w:val="0"/>
        <w:snapToGrid w:val="0"/>
        <w:spacing w:line="460" w:lineRule="exact"/>
        <w:ind w:firstLine="588" w:firstLineChars="245"/>
        <w:rPr>
          <w:snapToGrid w:val="0"/>
          <w:kern w:val="0"/>
          <w:sz w:val="24"/>
        </w:rPr>
      </w:pPr>
      <w:r>
        <w:rPr>
          <w:rFonts w:hint="eastAsia"/>
          <w:snapToGrid w:val="0"/>
          <w:kern w:val="0"/>
          <w:sz w:val="24"/>
        </w:rPr>
        <w:t>2、投标人如果是生产加工企业须具备食品卫生许可证、销售许可证、和食品QS质量体系认证等有效证书；经销商投标应具有面粉（包三包四）食用油（包五）批发或零售经营范围</w:t>
      </w:r>
    </w:p>
    <w:p>
      <w:pPr>
        <w:adjustRightInd w:val="0"/>
        <w:snapToGrid w:val="0"/>
        <w:spacing w:line="460" w:lineRule="exact"/>
        <w:ind w:firstLine="590" w:firstLineChars="245"/>
        <w:rPr>
          <w:b/>
          <w:snapToGrid w:val="0"/>
          <w:kern w:val="0"/>
          <w:sz w:val="24"/>
        </w:rPr>
      </w:pPr>
      <w:r>
        <w:rPr>
          <w:rFonts w:hint="eastAsia"/>
          <w:b/>
          <w:snapToGrid w:val="0"/>
          <w:kern w:val="0"/>
          <w:sz w:val="24"/>
        </w:rPr>
        <w:t>3、*投标单位必须有对公账户，能转账付款。</w:t>
      </w:r>
    </w:p>
    <w:p>
      <w:pPr>
        <w:adjustRightInd w:val="0"/>
        <w:snapToGrid w:val="0"/>
        <w:spacing w:line="460" w:lineRule="exact"/>
        <w:ind w:firstLine="588" w:firstLineChars="245"/>
        <w:rPr>
          <w:snapToGrid w:val="0"/>
          <w:kern w:val="0"/>
          <w:sz w:val="24"/>
        </w:rPr>
      </w:pPr>
      <w:r>
        <w:rPr>
          <w:rFonts w:hint="eastAsia"/>
          <w:snapToGrid w:val="0"/>
          <w:kern w:val="0"/>
          <w:sz w:val="24"/>
        </w:rPr>
        <w:t>4、具有长期供货能力；</w:t>
      </w:r>
    </w:p>
    <w:p>
      <w:pPr>
        <w:spacing w:line="360" w:lineRule="auto"/>
        <w:ind w:firstLine="480" w:firstLineChars="200"/>
        <w:rPr>
          <w:sz w:val="24"/>
        </w:rPr>
      </w:pPr>
      <w:r>
        <w:rPr>
          <w:rFonts w:hint="eastAsia"/>
          <w:sz w:val="24"/>
        </w:rPr>
        <w:t>三、定义：本招标文件的的相关术语作如下解析（1）“招标人”系指广东石油化工学院招投标办公室；（2）“投标人”系指向招标人提交投标文件的合格投标人；（3）“货物”系指卖方按招标文件规定，须向买方提供的大米、面粉、食用油及相关材料；（4）“服务”系指招标文件规定卖方须承担的有关售后服务。</w:t>
      </w:r>
    </w:p>
    <w:p>
      <w:pPr>
        <w:spacing w:line="360" w:lineRule="auto"/>
        <w:ind w:firstLine="480" w:firstLineChars="200"/>
        <w:rPr>
          <w:sz w:val="24"/>
        </w:rPr>
      </w:pPr>
      <w:r>
        <w:rPr>
          <w:rFonts w:hint="eastAsia"/>
          <w:sz w:val="24"/>
        </w:rPr>
        <w:t>四、投标保证金的提交及退还：</w:t>
      </w:r>
    </w:p>
    <w:p>
      <w:pPr>
        <w:spacing w:line="360" w:lineRule="auto"/>
        <w:ind w:firstLine="480" w:firstLineChars="200"/>
        <w:rPr>
          <w:sz w:val="24"/>
          <w:u w:val="single"/>
          <w:vertAlign w:val="subscript"/>
        </w:rPr>
      </w:pPr>
      <w:r>
        <w:rPr>
          <w:rFonts w:hint="eastAsia"/>
          <w:sz w:val="24"/>
        </w:rPr>
        <w:t>1、 投标保证金，人民币3000元整，和投标文件一起以现金形式密封提交。开标后，未中标者退回投标保证金，中标者投标保证金即转为产品质量保证金。保证金交到广东石油化工学院帐户。开户行：中国建设银行茂名分行光华北路分理处，帐号：</w:t>
      </w:r>
      <w:r>
        <w:rPr>
          <w:rFonts w:hint="eastAsia"/>
          <w:sz w:val="24"/>
          <w:u w:val="single"/>
        </w:rPr>
        <w:t xml:space="preserve"> 44001690413051445422 </w:t>
      </w:r>
    </w:p>
    <w:p>
      <w:pPr>
        <w:spacing w:line="460" w:lineRule="exact"/>
        <w:ind w:firstLine="480" w:firstLineChars="200"/>
        <w:rPr>
          <w:sz w:val="24"/>
        </w:rPr>
      </w:pPr>
      <w:r>
        <w:rPr>
          <w:rFonts w:hint="eastAsia"/>
          <w:sz w:val="24"/>
        </w:rPr>
        <w:t>2、如果供应商出现以下任何一种情况，其保证金将不予退还。（1）定标后，再撤回报价；（2）弄虚作假，以他人名义报价，骗取成交的；（3）政府采购法规定的其他情形。</w:t>
      </w:r>
    </w:p>
    <w:p>
      <w:pPr>
        <w:spacing w:line="360" w:lineRule="auto"/>
        <w:ind w:firstLine="480" w:firstLineChars="200"/>
        <w:rPr>
          <w:sz w:val="24"/>
        </w:rPr>
      </w:pPr>
      <w:r>
        <w:rPr>
          <w:rFonts w:hint="eastAsia"/>
          <w:sz w:val="24"/>
        </w:rPr>
        <w:t>五、 投标文件的编写：投标人应仔细阅读招标文件的所有内容，并按招标文件的规定及附件要求的内容和格式，提交完整的投标文件。</w:t>
      </w:r>
    </w:p>
    <w:p>
      <w:pPr>
        <w:spacing w:line="360" w:lineRule="auto"/>
        <w:ind w:firstLine="480" w:firstLineChars="200"/>
        <w:rPr>
          <w:sz w:val="24"/>
        </w:rPr>
      </w:pPr>
      <w:r>
        <w:rPr>
          <w:rFonts w:hint="eastAsia"/>
          <w:sz w:val="24"/>
        </w:rPr>
        <w:t>六、投标书的提交要求：（1）全部投标文件应由投标人的法定代表人或法定代表人授权代表正式签署；（2）投标人应对投标货物提供完整的详细说明，如投标人对指定的要求建议做任何改动，应在投标书中清楚地注明；（3）所有投标文件应在投标文件截止时间前送达广东石油化工学院招投标办公室，任何迟于这个时间的投标将被拒绝；（4）所有投标文件必须封入密封的信封或包装，并加盖公章，并在密封的信封或包装的封面上写明：收件人名称及地址；招标编号；项目名称；投标人名称、地址；（5）招标人对不可抗力事件造成的投标文件的损坏、丢失不承担任何责任；（6）招标人不接受电报、电话、传真及电子邮件投标；</w:t>
      </w:r>
      <w:r>
        <w:rPr>
          <w:rFonts w:hint="eastAsia"/>
          <w:b/>
          <w:sz w:val="24"/>
        </w:rPr>
        <w:t xml:space="preserve">（7）投标截止日期：2016年 </w:t>
      </w:r>
      <w:r>
        <w:rPr>
          <w:rFonts w:hint="eastAsia"/>
          <w:b/>
          <w:sz w:val="24"/>
          <w:lang w:val="en-US" w:eastAsia="zh-CN"/>
        </w:rPr>
        <w:t>8</w:t>
      </w:r>
      <w:r>
        <w:rPr>
          <w:rFonts w:hint="eastAsia"/>
          <w:b/>
          <w:sz w:val="24"/>
        </w:rPr>
        <w:t xml:space="preserve"> 月</w:t>
      </w:r>
      <w:r>
        <w:rPr>
          <w:rFonts w:hint="eastAsia"/>
          <w:b/>
          <w:sz w:val="24"/>
          <w:lang w:val="en-US" w:eastAsia="zh-CN"/>
        </w:rPr>
        <w:t>4</w:t>
      </w:r>
      <w:r>
        <w:rPr>
          <w:rFonts w:hint="eastAsia"/>
          <w:b/>
          <w:sz w:val="24"/>
        </w:rPr>
        <w:t>日上午9:30时前；（8）投标文件一式六份，其中正本一份，副本五份。</w:t>
      </w:r>
    </w:p>
    <w:p>
      <w:pPr>
        <w:spacing w:line="360" w:lineRule="auto"/>
        <w:ind w:firstLine="480" w:firstLineChars="200"/>
        <w:rPr>
          <w:sz w:val="24"/>
        </w:rPr>
      </w:pPr>
      <w:r>
        <w:rPr>
          <w:rFonts w:hint="eastAsia"/>
          <w:sz w:val="24"/>
        </w:rPr>
        <w:t>七、开标时间和地点：</w:t>
      </w:r>
    </w:p>
    <w:p>
      <w:pPr>
        <w:spacing w:line="360" w:lineRule="auto"/>
        <w:ind w:firstLine="480" w:firstLineChars="200"/>
        <w:rPr>
          <w:sz w:val="24"/>
        </w:rPr>
      </w:pPr>
      <w:r>
        <w:rPr>
          <w:rFonts w:hint="eastAsia"/>
          <w:sz w:val="24"/>
        </w:rPr>
        <w:t>1、开标时间：2016年</w:t>
      </w:r>
      <w:r>
        <w:rPr>
          <w:rFonts w:hint="eastAsia"/>
          <w:sz w:val="24"/>
          <w:lang w:val="en-US" w:eastAsia="zh-CN"/>
        </w:rPr>
        <w:t>8</w:t>
      </w:r>
      <w:r>
        <w:rPr>
          <w:rFonts w:hint="eastAsia"/>
          <w:sz w:val="24"/>
        </w:rPr>
        <w:t>月</w:t>
      </w:r>
      <w:r>
        <w:rPr>
          <w:rFonts w:hint="eastAsia"/>
          <w:sz w:val="24"/>
          <w:lang w:val="en-US" w:eastAsia="zh-CN"/>
        </w:rPr>
        <w:t>9</w:t>
      </w:r>
      <w:r>
        <w:rPr>
          <w:rFonts w:hint="eastAsia"/>
          <w:sz w:val="24"/>
        </w:rPr>
        <w:t>日</w:t>
      </w:r>
      <w:r>
        <w:rPr>
          <w:rFonts w:hint="eastAsia"/>
          <w:sz w:val="24"/>
          <w:lang w:eastAsia="zh-CN"/>
        </w:rPr>
        <w:t>上</w:t>
      </w:r>
      <w:r>
        <w:rPr>
          <w:rFonts w:hint="eastAsia"/>
          <w:sz w:val="24"/>
        </w:rPr>
        <w:t>午</w:t>
      </w:r>
      <w:r>
        <w:rPr>
          <w:rFonts w:hint="eastAsia"/>
          <w:sz w:val="24"/>
          <w:lang w:val="en-US" w:eastAsia="zh-CN"/>
        </w:rPr>
        <w:t>9</w:t>
      </w:r>
      <w:r>
        <w:rPr>
          <w:rFonts w:hint="eastAsia"/>
          <w:sz w:val="24"/>
        </w:rPr>
        <w:t>：</w:t>
      </w:r>
      <w:r>
        <w:rPr>
          <w:rFonts w:hint="eastAsia"/>
          <w:sz w:val="24"/>
          <w:lang w:val="en-US" w:eastAsia="zh-CN"/>
        </w:rPr>
        <w:t>3</w:t>
      </w:r>
      <w:r>
        <w:rPr>
          <w:rFonts w:hint="eastAsia"/>
          <w:sz w:val="24"/>
        </w:rPr>
        <w:t>0；</w:t>
      </w:r>
    </w:p>
    <w:p>
      <w:pPr>
        <w:spacing w:line="360" w:lineRule="auto"/>
        <w:ind w:firstLine="480" w:firstLineChars="200"/>
        <w:rPr>
          <w:sz w:val="24"/>
        </w:rPr>
      </w:pPr>
      <w:r>
        <w:rPr>
          <w:rFonts w:hint="eastAsia"/>
          <w:sz w:val="24"/>
        </w:rPr>
        <w:t>2、开标地点：</w:t>
      </w:r>
      <w:r>
        <w:rPr>
          <w:rFonts w:hint="eastAsia"/>
          <w:snapToGrid w:val="0"/>
          <w:kern w:val="0"/>
          <w:sz w:val="24"/>
        </w:rPr>
        <w:t>广东石油化工学院综合办公楼704室</w:t>
      </w:r>
      <w:r>
        <w:rPr>
          <w:rFonts w:hint="eastAsia"/>
          <w:sz w:val="24"/>
        </w:rPr>
        <w:t>。</w:t>
      </w:r>
    </w:p>
    <w:p>
      <w:pPr>
        <w:spacing w:line="440" w:lineRule="exact"/>
        <w:ind w:firstLine="643" w:firstLineChars="200"/>
        <w:jc w:val="center"/>
        <w:rPr>
          <w:rFonts w:ascii="宋体" w:hAnsi="宋体"/>
          <w:b/>
          <w:sz w:val="32"/>
          <w:szCs w:val="32"/>
        </w:rPr>
      </w:pPr>
    </w:p>
    <w:p>
      <w:pPr>
        <w:spacing w:line="440" w:lineRule="exact"/>
        <w:ind w:firstLine="643" w:firstLineChars="200"/>
        <w:jc w:val="center"/>
        <w:rPr>
          <w:rFonts w:ascii="宋体" w:hAnsi="宋体"/>
          <w:b/>
          <w:sz w:val="32"/>
          <w:szCs w:val="32"/>
        </w:rPr>
      </w:pPr>
    </w:p>
    <w:p>
      <w:pPr>
        <w:spacing w:line="440" w:lineRule="exact"/>
        <w:ind w:firstLine="643" w:firstLineChars="200"/>
        <w:jc w:val="center"/>
        <w:rPr>
          <w:rFonts w:ascii="宋体" w:hAnsi="宋体"/>
          <w:b/>
          <w:sz w:val="32"/>
          <w:szCs w:val="32"/>
        </w:rPr>
      </w:pPr>
    </w:p>
    <w:p>
      <w:pPr>
        <w:spacing w:line="440" w:lineRule="exact"/>
        <w:ind w:firstLine="643" w:firstLineChars="200"/>
        <w:jc w:val="center"/>
        <w:rPr>
          <w:rFonts w:ascii="宋体" w:hAnsi="宋体"/>
          <w:b/>
          <w:sz w:val="32"/>
          <w:szCs w:val="32"/>
        </w:rPr>
      </w:pPr>
    </w:p>
    <w:p>
      <w:pPr>
        <w:spacing w:line="440" w:lineRule="exact"/>
        <w:ind w:firstLine="643" w:firstLineChars="200"/>
        <w:jc w:val="center"/>
        <w:rPr>
          <w:rFonts w:ascii="宋体" w:hAnsi="宋体"/>
          <w:b/>
          <w:sz w:val="32"/>
          <w:szCs w:val="32"/>
        </w:rPr>
      </w:pPr>
    </w:p>
    <w:p>
      <w:pPr>
        <w:spacing w:line="440" w:lineRule="exact"/>
        <w:ind w:firstLine="643" w:firstLineChars="200"/>
        <w:jc w:val="center"/>
        <w:rPr>
          <w:rFonts w:ascii="宋体" w:hAnsi="宋体"/>
          <w:b/>
          <w:sz w:val="32"/>
          <w:szCs w:val="32"/>
        </w:rPr>
      </w:pPr>
    </w:p>
    <w:p>
      <w:pPr>
        <w:spacing w:line="440" w:lineRule="exact"/>
        <w:ind w:firstLine="643" w:firstLineChars="200"/>
        <w:jc w:val="center"/>
        <w:rPr>
          <w:rFonts w:ascii="宋体" w:hAnsi="宋体"/>
          <w:b/>
          <w:sz w:val="32"/>
          <w:szCs w:val="32"/>
        </w:rPr>
      </w:pPr>
    </w:p>
    <w:p>
      <w:pPr>
        <w:spacing w:line="440" w:lineRule="exact"/>
        <w:ind w:firstLine="643" w:firstLineChars="200"/>
        <w:jc w:val="center"/>
        <w:rPr>
          <w:rFonts w:ascii="宋体" w:hAnsi="宋体"/>
          <w:b/>
          <w:sz w:val="32"/>
          <w:szCs w:val="32"/>
        </w:rPr>
      </w:pPr>
    </w:p>
    <w:p>
      <w:pPr>
        <w:spacing w:line="440" w:lineRule="exact"/>
        <w:ind w:firstLine="643" w:firstLineChars="200"/>
        <w:jc w:val="center"/>
        <w:rPr>
          <w:rFonts w:ascii="宋体" w:hAnsi="宋体"/>
          <w:b/>
          <w:sz w:val="32"/>
          <w:szCs w:val="32"/>
        </w:rPr>
      </w:pPr>
    </w:p>
    <w:p>
      <w:pPr>
        <w:spacing w:line="440" w:lineRule="exact"/>
        <w:ind w:firstLine="643" w:firstLineChars="200"/>
        <w:jc w:val="center"/>
        <w:rPr>
          <w:rFonts w:ascii="宋体" w:hAnsi="宋体"/>
          <w:b/>
          <w:sz w:val="32"/>
          <w:szCs w:val="32"/>
        </w:rPr>
      </w:pPr>
    </w:p>
    <w:p>
      <w:pPr>
        <w:spacing w:line="440" w:lineRule="exact"/>
        <w:ind w:firstLine="643" w:firstLineChars="200"/>
        <w:jc w:val="center"/>
        <w:rPr>
          <w:rFonts w:ascii="宋体" w:hAnsi="宋体"/>
          <w:b/>
          <w:sz w:val="32"/>
          <w:szCs w:val="32"/>
        </w:rPr>
      </w:pPr>
    </w:p>
    <w:p>
      <w:pPr>
        <w:spacing w:line="440" w:lineRule="exact"/>
        <w:ind w:firstLine="643" w:firstLineChars="200"/>
        <w:jc w:val="center"/>
        <w:rPr>
          <w:rFonts w:ascii="宋体" w:hAnsi="宋体"/>
          <w:b/>
          <w:sz w:val="32"/>
          <w:szCs w:val="32"/>
        </w:rPr>
      </w:pPr>
    </w:p>
    <w:p>
      <w:pPr>
        <w:spacing w:line="440" w:lineRule="exact"/>
        <w:ind w:firstLine="643" w:firstLineChars="200"/>
        <w:jc w:val="center"/>
        <w:rPr>
          <w:rFonts w:ascii="宋体" w:hAnsi="宋体"/>
          <w:b/>
          <w:sz w:val="32"/>
          <w:szCs w:val="32"/>
        </w:rPr>
      </w:pPr>
    </w:p>
    <w:p>
      <w:pPr>
        <w:spacing w:line="440" w:lineRule="exact"/>
        <w:ind w:firstLine="643" w:firstLineChars="200"/>
        <w:jc w:val="center"/>
        <w:rPr>
          <w:rFonts w:ascii="宋体" w:hAnsi="宋体"/>
          <w:b/>
          <w:sz w:val="32"/>
          <w:szCs w:val="32"/>
        </w:rPr>
      </w:pPr>
    </w:p>
    <w:p>
      <w:pPr>
        <w:spacing w:line="440" w:lineRule="exact"/>
        <w:ind w:firstLine="643" w:firstLineChars="200"/>
        <w:jc w:val="center"/>
        <w:rPr>
          <w:rFonts w:ascii="宋体" w:hAnsi="宋体"/>
          <w:b/>
          <w:sz w:val="32"/>
          <w:szCs w:val="32"/>
        </w:rPr>
      </w:pPr>
    </w:p>
    <w:p>
      <w:pPr>
        <w:spacing w:line="440" w:lineRule="exact"/>
        <w:ind w:firstLine="643" w:firstLineChars="200"/>
        <w:jc w:val="center"/>
        <w:rPr>
          <w:rFonts w:ascii="宋体" w:hAnsi="宋体"/>
          <w:b/>
          <w:sz w:val="32"/>
          <w:szCs w:val="32"/>
        </w:rPr>
      </w:pPr>
    </w:p>
    <w:p>
      <w:pPr>
        <w:spacing w:line="440" w:lineRule="exact"/>
        <w:ind w:firstLine="643" w:firstLineChars="200"/>
        <w:jc w:val="center"/>
        <w:rPr>
          <w:rFonts w:ascii="宋体" w:hAnsi="宋体"/>
          <w:b/>
          <w:sz w:val="32"/>
          <w:szCs w:val="32"/>
        </w:rPr>
      </w:pPr>
    </w:p>
    <w:p>
      <w:pPr>
        <w:spacing w:line="440" w:lineRule="exact"/>
        <w:rPr>
          <w:rFonts w:ascii="宋体" w:hAnsi="宋体"/>
          <w:b/>
          <w:sz w:val="32"/>
          <w:szCs w:val="32"/>
        </w:rPr>
      </w:pPr>
    </w:p>
    <w:p>
      <w:pPr>
        <w:spacing w:line="440" w:lineRule="exact"/>
        <w:ind w:firstLine="643" w:firstLineChars="200"/>
        <w:jc w:val="center"/>
        <w:rPr>
          <w:rFonts w:ascii="宋体" w:hAnsi="宋体"/>
          <w:b/>
          <w:sz w:val="32"/>
          <w:szCs w:val="32"/>
        </w:rPr>
      </w:pPr>
    </w:p>
    <w:p>
      <w:pPr>
        <w:spacing w:line="440" w:lineRule="exact"/>
        <w:ind w:firstLine="643" w:firstLineChars="200"/>
        <w:jc w:val="center"/>
        <w:rPr>
          <w:rFonts w:ascii="宋体" w:hAnsi="宋体"/>
          <w:b/>
          <w:sz w:val="32"/>
          <w:szCs w:val="32"/>
        </w:rPr>
      </w:pPr>
      <w:r>
        <w:rPr>
          <w:rFonts w:hint="eastAsia" w:ascii="宋体" w:hAnsi="宋体"/>
          <w:b/>
          <w:sz w:val="32"/>
          <w:szCs w:val="32"/>
        </w:rPr>
        <w:br w:type="page"/>
      </w:r>
      <w:r>
        <w:rPr>
          <w:rFonts w:hint="eastAsia" w:ascii="宋体" w:hAnsi="宋体"/>
          <w:b/>
          <w:sz w:val="32"/>
          <w:szCs w:val="32"/>
        </w:rPr>
        <w:t>第二部分：货物和服务需求</w:t>
      </w:r>
    </w:p>
    <w:p>
      <w:pPr>
        <w:spacing w:line="440" w:lineRule="exact"/>
        <w:ind w:firstLine="482" w:firstLineChars="200"/>
        <w:rPr>
          <w:rFonts w:ascii="宋体" w:hAnsi="宋体"/>
          <w:b/>
          <w:bCs/>
          <w:snapToGrid w:val="0"/>
          <w:color w:val="0000FF"/>
          <w:kern w:val="0"/>
          <w:sz w:val="24"/>
        </w:rPr>
      </w:pPr>
      <w:r>
        <w:rPr>
          <w:rFonts w:hint="eastAsia" w:ascii="宋体" w:hAnsi="宋体"/>
          <w:b/>
          <w:bCs/>
          <w:snapToGrid w:val="0"/>
          <w:color w:val="0000FF"/>
          <w:kern w:val="0"/>
          <w:sz w:val="24"/>
        </w:rPr>
        <w:t>一、采购内容</w:t>
      </w:r>
    </w:p>
    <w:tbl>
      <w:tblPr>
        <w:tblStyle w:val="9"/>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5074"/>
        <w:gridCol w:w="1082"/>
        <w:gridCol w:w="1080"/>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3" w:type="dxa"/>
            <w:vAlign w:val="center"/>
          </w:tcPr>
          <w:p>
            <w:pPr>
              <w:spacing w:line="240" w:lineRule="atLeast"/>
              <w:jc w:val="center"/>
              <w:rPr>
                <w:rFonts w:ascii="宋体" w:hAnsi="宋体"/>
                <w:bCs/>
                <w:snapToGrid w:val="0"/>
                <w:kern w:val="0"/>
                <w:sz w:val="24"/>
                <w:szCs w:val="20"/>
              </w:rPr>
            </w:pPr>
            <w:r>
              <w:rPr>
                <w:rFonts w:hint="eastAsia" w:ascii="宋体" w:hAnsi="宋体"/>
                <w:bCs/>
                <w:snapToGrid w:val="0"/>
                <w:kern w:val="0"/>
                <w:sz w:val="24"/>
                <w:szCs w:val="20"/>
              </w:rPr>
              <w:t>类别</w:t>
            </w:r>
          </w:p>
        </w:tc>
        <w:tc>
          <w:tcPr>
            <w:tcW w:w="5074" w:type="dxa"/>
            <w:vAlign w:val="center"/>
          </w:tcPr>
          <w:p>
            <w:pPr>
              <w:spacing w:line="240" w:lineRule="atLeast"/>
              <w:jc w:val="center"/>
              <w:rPr>
                <w:rFonts w:ascii="宋体" w:hAnsi="宋体"/>
                <w:bCs/>
                <w:snapToGrid w:val="0"/>
                <w:kern w:val="0"/>
                <w:sz w:val="24"/>
                <w:szCs w:val="20"/>
              </w:rPr>
            </w:pPr>
            <w:r>
              <w:rPr>
                <w:rFonts w:hint="eastAsia" w:ascii="宋体" w:hAnsi="宋体"/>
                <w:bCs/>
                <w:snapToGrid w:val="0"/>
                <w:kern w:val="0"/>
                <w:sz w:val="24"/>
                <w:szCs w:val="20"/>
              </w:rPr>
              <w:t>货物质量要求</w:t>
            </w:r>
          </w:p>
        </w:tc>
        <w:tc>
          <w:tcPr>
            <w:tcW w:w="1082" w:type="dxa"/>
            <w:vAlign w:val="center"/>
          </w:tcPr>
          <w:p>
            <w:pPr>
              <w:spacing w:line="240" w:lineRule="atLeast"/>
              <w:jc w:val="center"/>
              <w:rPr>
                <w:rFonts w:ascii="宋体" w:hAnsi="宋体"/>
                <w:bCs/>
                <w:snapToGrid w:val="0"/>
                <w:kern w:val="0"/>
                <w:sz w:val="24"/>
                <w:szCs w:val="20"/>
              </w:rPr>
            </w:pPr>
            <w:r>
              <w:rPr>
                <w:rFonts w:hint="eastAsia" w:ascii="宋体" w:hAnsi="宋体"/>
                <w:bCs/>
                <w:snapToGrid w:val="0"/>
                <w:kern w:val="0"/>
                <w:sz w:val="24"/>
                <w:szCs w:val="20"/>
              </w:rPr>
              <w:t>协议</w:t>
            </w:r>
          </w:p>
          <w:p>
            <w:pPr>
              <w:spacing w:line="240" w:lineRule="atLeast"/>
              <w:jc w:val="center"/>
              <w:rPr>
                <w:rFonts w:ascii="宋体" w:hAnsi="宋体"/>
                <w:bCs/>
                <w:snapToGrid w:val="0"/>
                <w:kern w:val="0"/>
                <w:sz w:val="24"/>
                <w:szCs w:val="20"/>
              </w:rPr>
            </w:pPr>
            <w:r>
              <w:rPr>
                <w:rFonts w:hint="eastAsia" w:ascii="宋体" w:hAnsi="宋体"/>
                <w:bCs/>
                <w:snapToGrid w:val="0"/>
                <w:kern w:val="0"/>
                <w:sz w:val="24"/>
                <w:szCs w:val="20"/>
              </w:rPr>
              <w:t>期限</w:t>
            </w:r>
          </w:p>
        </w:tc>
        <w:tc>
          <w:tcPr>
            <w:tcW w:w="1080" w:type="dxa"/>
            <w:vAlign w:val="center"/>
          </w:tcPr>
          <w:p>
            <w:pPr>
              <w:spacing w:line="240" w:lineRule="atLeast"/>
              <w:jc w:val="center"/>
              <w:rPr>
                <w:rFonts w:ascii="宋体" w:hAnsi="宋体"/>
                <w:bCs/>
                <w:snapToGrid w:val="0"/>
                <w:kern w:val="0"/>
                <w:sz w:val="24"/>
                <w:szCs w:val="20"/>
              </w:rPr>
            </w:pPr>
            <w:r>
              <w:rPr>
                <w:rFonts w:hint="eastAsia" w:ascii="宋体" w:hAnsi="宋体"/>
                <w:bCs/>
                <w:snapToGrid w:val="0"/>
                <w:kern w:val="0"/>
                <w:sz w:val="24"/>
                <w:szCs w:val="20"/>
              </w:rPr>
              <w:t>报价</w:t>
            </w:r>
          </w:p>
          <w:p>
            <w:pPr>
              <w:spacing w:line="240" w:lineRule="atLeast"/>
              <w:jc w:val="center"/>
              <w:rPr>
                <w:rFonts w:ascii="宋体" w:hAnsi="宋体"/>
                <w:bCs/>
                <w:snapToGrid w:val="0"/>
                <w:kern w:val="0"/>
                <w:sz w:val="24"/>
                <w:szCs w:val="20"/>
              </w:rPr>
            </w:pPr>
            <w:r>
              <w:rPr>
                <w:rFonts w:hint="eastAsia" w:ascii="宋体" w:hAnsi="宋体"/>
                <w:bCs/>
                <w:snapToGrid w:val="0"/>
                <w:kern w:val="0"/>
                <w:sz w:val="24"/>
                <w:szCs w:val="20"/>
              </w:rPr>
              <w:t>周期</w:t>
            </w:r>
          </w:p>
        </w:tc>
        <w:tc>
          <w:tcPr>
            <w:tcW w:w="1029" w:type="dxa"/>
            <w:vAlign w:val="center"/>
          </w:tcPr>
          <w:p>
            <w:pPr>
              <w:widowControl/>
              <w:jc w:val="center"/>
              <w:rPr>
                <w:rFonts w:ascii="宋体" w:hAnsi="宋体"/>
                <w:bCs/>
                <w:snapToGrid w:val="0"/>
                <w:kern w:val="0"/>
                <w:sz w:val="24"/>
                <w:szCs w:val="20"/>
              </w:rPr>
            </w:pPr>
            <w:r>
              <w:rPr>
                <w:rFonts w:hint="eastAsia" w:ascii="宋体" w:hAnsi="宋体"/>
                <w:bCs/>
                <w:snapToGrid w:val="0"/>
                <w:kern w:val="0"/>
                <w:sz w:val="24"/>
                <w:szCs w:val="20"/>
              </w:rPr>
              <w:t>入围供货商</w:t>
            </w:r>
          </w:p>
          <w:p>
            <w:pPr>
              <w:spacing w:line="240" w:lineRule="atLeast"/>
              <w:jc w:val="center"/>
              <w:rPr>
                <w:rFonts w:ascii="宋体" w:hAnsi="宋体"/>
                <w:bCs/>
                <w:snapToGrid w:val="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3" w:type="dxa"/>
            <w:vAlign w:val="center"/>
          </w:tcPr>
          <w:p>
            <w:pPr>
              <w:spacing w:line="240" w:lineRule="atLeast"/>
              <w:jc w:val="center"/>
              <w:rPr>
                <w:rFonts w:ascii="宋体" w:hAnsi="宋体"/>
                <w:bCs/>
                <w:snapToGrid w:val="0"/>
                <w:kern w:val="0"/>
                <w:sz w:val="24"/>
                <w:szCs w:val="20"/>
              </w:rPr>
            </w:pPr>
            <w:r>
              <w:rPr>
                <w:rFonts w:hint="eastAsia" w:ascii="宋体" w:hAnsi="宋体"/>
                <w:bCs/>
                <w:snapToGrid w:val="0"/>
                <w:kern w:val="0"/>
                <w:sz w:val="24"/>
                <w:szCs w:val="20"/>
              </w:rPr>
              <w:t>包三高筋面粉供应商</w:t>
            </w:r>
          </w:p>
        </w:tc>
        <w:tc>
          <w:tcPr>
            <w:tcW w:w="5074" w:type="dxa"/>
            <w:vAlign w:val="center"/>
          </w:tcPr>
          <w:p>
            <w:pPr>
              <w:numPr>
                <w:ilvl w:val="0"/>
                <w:numId w:val="1"/>
              </w:numPr>
              <w:rPr>
                <w:rFonts w:ascii="Times New Roman" w:hAnsi="Times New Roman"/>
                <w:kern w:val="0"/>
                <w:sz w:val="24"/>
                <w:szCs w:val="20"/>
              </w:rPr>
            </w:pPr>
            <w:r>
              <w:rPr>
                <w:rFonts w:hint="eastAsia" w:ascii="Times New Roman" w:hAnsi="Times New Roman"/>
                <w:kern w:val="0"/>
                <w:sz w:val="24"/>
                <w:szCs w:val="20"/>
              </w:rPr>
              <w:t>高筋面粉达GB8607国家标准，质量等级一级；</w:t>
            </w:r>
          </w:p>
          <w:p>
            <w:pPr>
              <w:rPr>
                <w:rFonts w:ascii="Times New Roman" w:hAnsi="Times New Roman"/>
                <w:kern w:val="0"/>
                <w:sz w:val="24"/>
                <w:szCs w:val="20"/>
              </w:rPr>
            </w:pPr>
            <w:r>
              <w:rPr>
                <w:rFonts w:hint="eastAsia" w:ascii="Times New Roman" w:hAnsi="Times New Roman"/>
                <w:kern w:val="0"/>
                <w:sz w:val="24"/>
                <w:szCs w:val="20"/>
              </w:rPr>
              <w:t>2、色泽正常，干爽无异味；</w:t>
            </w:r>
          </w:p>
          <w:p>
            <w:pPr>
              <w:ind w:left="360" w:hanging="360" w:hangingChars="150"/>
              <w:rPr>
                <w:rFonts w:ascii="Times New Roman" w:hAnsi="Times New Roman"/>
                <w:kern w:val="0"/>
                <w:sz w:val="24"/>
                <w:szCs w:val="20"/>
              </w:rPr>
            </w:pPr>
            <w:r>
              <w:rPr>
                <w:rFonts w:hint="eastAsia" w:ascii="Times New Roman" w:hAnsi="Times New Roman"/>
                <w:kern w:val="0"/>
                <w:sz w:val="24"/>
                <w:szCs w:val="20"/>
              </w:rPr>
              <w:t>3、按进货量抽查20％，数量按抽查验收实数为准；</w:t>
            </w:r>
          </w:p>
          <w:p>
            <w:pPr>
              <w:spacing w:line="440" w:lineRule="exact"/>
              <w:rPr>
                <w:rFonts w:ascii="宋体" w:hAnsi="宋体"/>
                <w:bCs/>
                <w:snapToGrid w:val="0"/>
                <w:kern w:val="0"/>
                <w:sz w:val="24"/>
                <w:szCs w:val="20"/>
              </w:rPr>
            </w:pPr>
            <w:r>
              <w:rPr>
                <w:rFonts w:hint="eastAsia" w:ascii="Times New Roman" w:hAnsi="Times New Roman"/>
                <w:kern w:val="0"/>
                <w:sz w:val="24"/>
                <w:szCs w:val="20"/>
              </w:rPr>
              <w:t>包装袋上有注册商标及QS标注，有检验合格证、生产日期和保质期。</w:t>
            </w:r>
          </w:p>
        </w:tc>
        <w:tc>
          <w:tcPr>
            <w:tcW w:w="1082" w:type="dxa"/>
            <w:vAlign w:val="center"/>
          </w:tcPr>
          <w:p>
            <w:pPr>
              <w:spacing w:line="440" w:lineRule="exact"/>
              <w:jc w:val="center"/>
              <w:rPr>
                <w:rFonts w:ascii="宋体" w:hAnsi="宋体"/>
                <w:bCs/>
                <w:snapToGrid w:val="0"/>
                <w:kern w:val="0"/>
                <w:sz w:val="24"/>
                <w:szCs w:val="20"/>
              </w:rPr>
            </w:pPr>
            <w:r>
              <w:rPr>
                <w:rFonts w:hint="eastAsia" w:ascii="宋体" w:hAnsi="宋体"/>
                <w:bCs/>
                <w:snapToGrid w:val="0"/>
                <w:kern w:val="0"/>
                <w:sz w:val="24"/>
                <w:szCs w:val="20"/>
              </w:rPr>
              <w:t>一年</w:t>
            </w:r>
          </w:p>
        </w:tc>
        <w:tc>
          <w:tcPr>
            <w:tcW w:w="1080" w:type="dxa"/>
            <w:vAlign w:val="center"/>
          </w:tcPr>
          <w:p>
            <w:pPr>
              <w:spacing w:line="440" w:lineRule="exact"/>
              <w:jc w:val="center"/>
              <w:rPr>
                <w:rFonts w:ascii="宋体" w:hAnsi="宋体"/>
                <w:bCs/>
                <w:snapToGrid w:val="0"/>
                <w:kern w:val="0"/>
                <w:sz w:val="24"/>
                <w:szCs w:val="20"/>
              </w:rPr>
            </w:pPr>
            <w:r>
              <w:rPr>
                <w:rFonts w:hint="eastAsia" w:ascii="宋体" w:hAnsi="宋体"/>
                <w:bCs/>
                <w:snapToGrid w:val="0"/>
                <w:kern w:val="0"/>
                <w:sz w:val="24"/>
                <w:szCs w:val="20"/>
              </w:rPr>
              <w:t>六个月</w:t>
            </w:r>
          </w:p>
        </w:tc>
        <w:tc>
          <w:tcPr>
            <w:tcW w:w="1029" w:type="dxa"/>
            <w:vAlign w:val="center"/>
          </w:tcPr>
          <w:p>
            <w:pPr>
              <w:spacing w:line="440" w:lineRule="exact"/>
              <w:jc w:val="center"/>
              <w:rPr>
                <w:rFonts w:ascii="宋体" w:hAnsi="宋体"/>
                <w:bCs/>
                <w:snapToGrid w:val="0"/>
                <w:kern w:val="0"/>
                <w:sz w:val="24"/>
                <w:szCs w:val="20"/>
              </w:rPr>
            </w:pPr>
            <w:r>
              <w:rPr>
                <w:rFonts w:hint="eastAsia" w:ascii="宋体" w:hAnsi="宋体"/>
                <w:bCs/>
                <w:snapToGrid w:val="0"/>
                <w:kern w:val="0"/>
                <w:sz w:val="24"/>
                <w:szCs w:val="20"/>
              </w:rPr>
              <w:t>3家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3" w:type="dxa"/>
            <w:vAlign w:val="center"/>
          </w:tcPr>
          <w:p>
            <w:pPr>
              <w:spacing w:line="240" w:lineRule="atLeast"/>
              <w:jc w:val="center"/>
              <w:rPr>
                <w:rFonts w:ascii="宋体" w:hAnsi="宋体"/>
                <w:bCs/>
                <w:snapToGrid w:val="0"/>
                <w:kern w:val="0"/>
                <w:sz w:val="24"/>
                <w:szCs w:val="20"/>
              </w:rPr>
            </w:pPr>
            <w:r>
              <w:rPr>
                <w:rFonts w:hint="eastAsia" w:ascii="宋体" w:hAnsi="宋体"/>
                <w:bCs/>
                <w:snapToGrid w:val="0"/>
                <w:kern w:val="0"/>
                <w:sz w:val="24"/>
                <w:szCs w:val="20"/>
              </w:rPr>
              <w:t>包四低筋面粉供应商</w:t>
            </w:r>
          </w:p>
        </w:tc>
        <w:tc>
          <w:tcPr>
            <w:tcW w:w="5074" w:type="dxa"/>
            <w:vAlign w:val="center"/>
          </w:tcPr>
          <w:p>
            <w:pPr>
              <w:numPr>
                <w:ilvl w:val="0"/>
                <w:numId w:val="2"/>
              </w:numPr>
              <w:rPr>
                <w:rFonts w:ascii="Times New Roman" w:hAnsi="Times New Roman"/>
                <w:kern w:val="0"/>
                <w:sz w:val="24"/>
                <w:szCs w:val="20"/>
              </w:rPr>
            </w:pPr>
            <w:r>
              <w:rPr>
                <w:rFonts w:hint="eastAsia" w:ascii="Times New Roman" w:hAnsi="Times New Roman"/>
                <w:kern w:val="0"/>
                <w:sz w:val="24"/>
                <w:szCs w:val="20"/>
              </w:rPr>
              <w:t>低筋面粉达Q/JHMF01标准，质量等级一级；</w:t>
            </w:r>
          </w:p>
          <w:p>
            <w:pPr>
              <w:numPr>
                <w:ilvl w:val="0"/>
                <w:numId w:val="2"/>
              </w:numPr>
              <w:rPr>
                <w:rFonts w:ascii="Times New Roman" w:hAnsi="Times New Roman"/>
                <w:kern w:val="0"/>
                <w:sz w:val="24"/>
                <w:szCs w:val="20"/>
              </w:rPr>
            </w:pPr>
            <w:r>
              <w:rPr>
                <w:rFonts w:hint="eastAsia" w:ascii="Times New Roman" w:hAnsi="Times New Roman"/>
                <w:kern w:val="0"/>
                <w:sz w:val="24"/>
                <w:szCs w:val="20"/>
              </w:rPr>
              <w:t>色泽正常，干爽无异味；</w:t>
            </w:r>
          </w:p>
          <w:p>
            <w:pPr>
              <w:numPr>
                <w:ilvl w:val="0"/>
                <w:numId w:val="2"/>
              </w:numPr>
              <w:rPr>
                <w:rFonts w:ascii="Times New Roman" w:hAnsi="Times New Roman"/>
                <w:kern w:val="0"/>
                <w:sz w:val="24"/>
                <w:szCs w:val="20"/>
              </w:rPr>
            </w:pPr>
            <w:r>
              <w:rPr>
                <w:rFonts w:hint="eastAsia" w:ascii="Times New Roman" w:hAnsi="Times New Roman"/>
                <w:kern w:val="0"/>
                <w:sz w:val="24"/>
                <w:szCs w:val="20"/>
              </w:rPr>
              <w:t>按进货量抽查20％，数量按抽查验收实数为准；</w:t>
            </w:r>
          </w:p>
          <w:p>
            <w:pPr>
              <w:spacing w:line="440" w:lineRule="exact"/>
              <w:rPr>
                <w:rFonts w:ascii="宋体" w:hAnsi="宋体"/>
                <w:bCs/>
                <w:snapToGrid w:val="0"/>
                <w:kern w:val="0"/>
                <w:sz w:val="24"/>
                <w:szCs w:val="20"/>
              </w:rPr>
            </w:pPr>
            <w:r>
              <w:rPr>
                <w:rFonts w:hint="eastAsia" w:ascii="Times New Roman" w:hAnsi="Times New Roman"/>
                <w:kern w:val="0"/>
                <w:sz w:val="24"/>
                <w:szCs w:val="20"/>
              </w:rPr>
              <w:t>4、包装袋上有注册商标及QS标注，有检验合格证、生产日期和保质期。</w:t>
            </w:r>
          </w:p>
        </w:tc>
        <w:tc>
          <w:tcPr>
            <w:tcW w:w="1082" w:type="dxa"/>
            <w:vAlign w:val="center"/>
          </w:tcPr>
          <w:p>
            <w:pPr>
              <w:spacing w:line="440" w:lineRule="exact"/>
              <w:jc w:val="center"/>
              <w:rPr>
                <w:rFonts w:ascii="宋体" w:hAnsi="宋体"/>
                <w:bCs/>
                <w:snapToGrid w:val="0"/>
                <w:kern w:val="0"/>
                <w:sz w:val="24"/>
                <w:szCs w:val="20"/>
              </w:rPr>
            </w:pPr>
            <w:r>
              <w:rPr>
                <w:rFonts w:hint="eastAsia" w:ascii="宋体" w:hAnsi="宋体"/>
                <w:bCs/>
                <w:snapToGrid w:val="0"/>
                <w:kern w:val="0"/>
                <w:sz w:val="24"/>
                <w:szCs w:val="20"/>
              </w:rPr>
              <w:t>一年</w:t>
            </w:r>
          </w:p>
        </w:tc>
        <w:tc>
          <w:tcPr>
            <w:tcW w:w="1080" w:type="dxa"/>
            <w:vAlign w:val="center"/>
          </w:tcPr>
          <w:p>
            <w:pPr>
              <w:spacing w:line="440" w:lineRule="exact"/>
              <w:jc w:val="center"/>
              <w:rPr>
                <w:rFonts w:ascii="宋体" w:hAnsi="宋体"/>
                <w:bCs/>
                <w:snapToGrid w:val="0"/>
                <w:kern w:val="0"/>
                <w:sz w:val="24"/>
                <w:szCs w:val="20"/>
              </w:rPr>
            </w:pPr>
            <w:r>
              <w:rPr>
                <w:rFonts w:hint="eastAsia" w:ascii="宋体" w:hAnsi="宋体"/>
                <w:bCs/>
                <w:snapToGrid w:val="0"/>
                <w:kern w:val="0"/>
                <w:sz w:val="24"/>
                <w:szCs w:val="20"/>
              </w:rPr>
              <w:t>六个月</w:t>
            </w:r>
          </w:p>
        </w:tc>
        <w:tc>
          <w:tcPr>
            <w:tcW w:w="1029" w:type="dxa"/>
            <w:vAlign w:val="center"/>
          </w:tcPr>
          <w:p>
            <w:pPr>
              <w:spacing w:line="440" w:lineRule="exact"/>
              <w:jc w:val="center"/>
              <w:rPr>
                <w:rFonts w:ascii="宋体" w:hAnsi="宋体"/>
                <w:bCs/>
                <w:snapToGrid w:val="0"/>
                <w:kern w:val="0"/>
                <w:sz w:val="24"/>
                <w:szCs w:val="20"/>
              </w:rPr>
            </w:pPr>
            <w:r>
              <w:rPr>
                <w:rFonts w:hint="eastAsia" w:ascii="宋体" w:hAnsi="宋体"/>
                <w:bCs/>
                <w:snapToGrid w:val="0"/>
                <w:kern w:val="0"/>
                <w:sz w:val="24"/>
                <w:szCs w:val="20"/>
              </w:rPr>
              <w:t>3家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3" w:type="dxa"/>
            <w:vAlign w:val="center"/>
          </w:tcPr>
          <w:p>
            <w:pPr>
              <w:spacing w:line="240" w:lineRule="atLeast"/>
              <w:jc w:val="center"/>
              <w:rPr>
                <w:rFonts w:ascii="宋体" w:hAnsi="宋体"/>
                <w:bCs/>
                <w:snapToGrid w:val="0"/>
                <w:kern w:val="0"/>
                <w:sz w:val="24"/>
                <w:szCs w:val="20"/>
              </w:rPr>
            </w:pPr>
            <w:r>
              <w:rPr>
                <w:rFonts w:hint="eastAsia" w:ascii="宋体" w:hAnsi="宋体"/>
                <w:bCs/>
                <w:snapToGrid w:val="0"/>
                <w:kern w:val="0"/>
                <w:sz w:val="24"/>
                <w:szCs w:val="20"/>
              </w:rPr>
              <w:t>包五食用油供应商</w:t>
            </w:r>
          </w:p>
        </w:tc>
        <w:tc>
          <w:tcPr>
            <w:tcW w:w="5074" w:type="dxa"/>
            <w:vAlign w:val="center"/>
          </w:tcPr>
          <w:p>
            <w:pPr>
              <w:ind w:left="360" w:hanging="360" w:hangingChars="150"/>
              <w:rPr>
                <w:rFonts w:ascii="Times New Roman" w:hAnsi="Times New Roman"/>
                <w:kern w:val="0"/>
                <w:sz w:val="24"/>
                <w:szCs w:val="20"/>
              </w:rPr>
            </w:pPr>
          </w:p>
          <w:p>
            <w:pPr>
              <w:ind w:left="360" w:hanging="360" w:hangingChars="150"/>
              <w:rPr>
                <w:rFonts w:ascii="Times New Roman" w:hAnsi="Times New Roman"/>
                <w:color w:val="0000FF"/>
                <w:kern w:val="0"/>
                <w:sz w:val="24"/>
                <w:szCs w:val="20"/>
              </w:rPr>
            </w:pPr>
            <w:r>
              <w:rPr>
                <w:rFonts w:hint="eastAsia" w:ascii="Times New Roman" w:hAnsi="Times New Roman"/>
                <w:color w:val="0000FF"/>
                <w:kern w:val="0"/>
                <w:sz w:val="24"/>
                <w:szCs w:val="20"/>
              </w:rPr>
              <w:t>注：含纯花生油、食用棕榈油、大豆油三个品种</w:t>
            </w:r>
          </w:p>
          <w:p>
            <w:pPr>
              <w:ind w:left="360" w:hanging="360" w:hangingChars="150"/>
              <w:rPr>
                <w:rFonts w:ascii="Times New Roman" w:hAnsi="Times New Roman"/>
                <w:kern w:val="0"/>
                <w:sz w:val="24"/>
                <w:szCs w:val="20"/>
              </w:rPr>
            </w:pPr>
            <w:r>
              <w:rPr>
                <w:rFonts w:hint="eastAsia" w:ascii="Times New Roman" w:hAnsi="Times New Roman"/>
                <w:kern w:val="0"/>
                <w:sz w:val="24"/>
                <w:szCs w:val="20"/>
              </w:rPr>
              <w:t>1、按国家食用调和油质量标准GB1535，质量等级一级；</w:t>
            </w:r>
          </w:p>
          <w:p>
            <w:pPr>
              <w:ind w:left="360" w:hanging="360" w:hangingChars="150"/>
              <w:rPr>
                <w:rFonts w:ascii="Times New Roman" w:hAnsi="Times New Roman"/>
                <w:kern w:val="0"/>
                <w:sz w:val="24"/>
                <w:szCs w:val="20"/>
              </w:rPr>
            </w:pPr>
            <w:r>
              <w:rPr>
                <w:rFonts w:hint="eastAsia" w:ascii="Times New Roman" w:hAnsi="Times New Roman"/>
                <w:kern w:val="0"/>
                <w:sz w:val="24"/>
                <w:szCs w:val="20"/>
              </w:rPr>
              <w:t>2、有合格检疫报告，外观的色泽、透明度、气味滋味等无异常；</w:t>
            </w:r>
          </w:p>
          <w:p>
            <w:pPr>
              <w:spacing w:line="440" w:lineRule="exact"/>
              <w:rPr>
                <w:rFonts w:ascii="宋体" w:hAnsi="宋体"/>
                <w:bCs/>
                <w:snapToGrid w:val="0"/>
                <w:kern w:val="0"/>
                <w:sz w:val="24"/>
                <w:szCs w:val="20"/>
              </w:rPr>
            </w:pPr>
            <w:r>
              <w:rPr>
                <w:rFonts w:hint="eastAsia" w:ascii="Times New Roman" w:hAnsi="Times New Roman"/>
                <w:kern w:val="0"/>
                <w:sz w:val="24"/>
                <w:szCs w:val="20"/>
              </w:rPr>
              <w:t>3、定型包装。</w:t>
            </w:r>
          </w:p>
        </w:tc>
        <w:tc>
          <w:tcPr>
            <w:tcW w:w="1082" w:type="dxa"/>
            <w:vAlign w:val="center"/>
          </w:tcPr>
          <w:p>
            <w:pPr>
              <w:spacing w:line="440" w:lineRule="exact"/>
              <w:jc w:val="center"/>
              <w:rPr>
                <w:rFonts w:ascii="宋体" w:hAnsi="宋体"/>
                <w:bCs/>
                <w:snapToGrid w:val="0"/>
                <w:kern w:val="0"/>
                <w:sz w:val="24"/>
                <w:szCs w:val="20"/>
              </w:rPr>
            </w:pPr>
            <w:r>
              <w:rPr>
                <w:rFonts w:hint="eastAsia" w:ascii="宋体" w:hAnsi="宋体"/>
                <w:bCs/>
                <w:snapToGrid w:val="0"/>
                <w:kern w:val="0"/>
                <w:sz w:val="24"/>
                <w:szCs w:val="20"/>
              </w:rPr>
              <w:t>一年</w:t>
            </w:r>
          </w:p>
        </w:tc>
        <w:tc>
          <w:tcPr>
            <w:tcW w:w="1080" w:type="dxa"/>
            <w:vAlign w:val="center"/>
          </w:tcPr>
          <w:p>
            <w:pPr>
              <w:spacing w:line="440" w:lineRule="exact"/>
              <w:jc w:val="center"/>
              <w:rPr>
                <w:rFonts w:ascii="宋体" w:hAnsi="宋体"/>
                <w:bCs/>
                <w:snapToGrid w:val="0"/>
                <w:kern w:val="0"/>
                <w:sz w:val="24"/>
                <w:szCs w:val="20"/>
              </w:rPr>
            </w:pPr>
            <w:r>
              <w:rPr>
                <w:rFonts w:hint="eastAsia" w:ascii="宋体" w:hAnsi="宋体"/>
                <w:bCs/>
                <w:snapToGrid w:val="0"/>
                <w:kern w:val="0"/>
                <w:sz w:val="24"/>
                <w:szCs w:val="20"/>
              </w:rPr>
              <w:t>六个月</w:t>
            </w:r>
          </w:p>
        </w:tc>
        <w:tc>
          <w:tcPr>
            <w:tcW w:w="1029" w:type="dxa"/>
            <w:vAlign w:val="center"/>
          </w:tcPr>
          <w:p>
            <w:pPr>
              <w:spacing w:line="440" w:lineRule="exact"/>
              <w:jc w:val="center"/>
              <w:rPr>
                <w:rFonts w:ascii="宋体" w:hAnsi="宋体"/>
                <w:bCs/>
                <w:snapToGrid w:val="0"/>
                <w:kern w:val="0"/>
                <w:sz w:val="24"/>
                <w:szCs w:val="20"/>
              </w:rPr>
            </w:pPr>
            <w:r>
              <w:rPr>
                <w:rFonts w:hint="eastAsia" w:ascii="宋体" w:hAnsi="宋体"/>
                <w:bCs/>
                <w:snapToGrid w:val="0"/>
                <w:kern w:val="0"/>
                <w:sz w:val="24"/>
                <w:szCs w:val="20"/>
              </w:rPr>
              <w:t>3家</w:t>
            </w:r>
          </w:p>
        </w:tc>
      </w:tr>
    </w:tbl>
    <w:p>
      <w:pPr>
        <w:spacing w:line="440" w:lineRule="exact"/>
        <w:ind w:firstLine="482" w:firstLineChars="200"/>
        <w:rPr>
          <w:rFonts w:ascii="宋体" w:hAnsi="宋体"/>
          <w:b/>
          <w:bCs/>
          <w:snapToGrid w:val="0"/>
          <w:color w:val="0000FF"/>
          <w:kern w:val="0"/>
          <w:sz w:val="24"/>
        </w:rPr>
      </w:pPr>
    </w:p>
    <w:p>
      <w:pPr>
        <w:spacing w:line="440" w:lineRule="exact"/>
        <w:ind w:firstLine="482" w:firstLineChars="200"/>
        <w:rPr>
          <w:rFonts w:ascii="宋体" w:hAnsi="宋体"/>
          <w:b/>
          <w:color w:val="0000FF"/>
          <w:sz w:val="24"/>
          <w:szCs w:val="24"/>
        </w:rPr>
      </w:pPr>
      <w:r>
        <w:rPr>
          <w:rFonts w:hint="eastAsia" w:ascii="宋体" w:hAnsi="宋体"/>
          <w:b/>
          <w:bCs/>
          <w:snapToGrid w:val="0"/>
          <w:color w:val="0000FF"/>
          <w:kern w:val="0"/>
          <w:sz w:val="24"/>
          <w:szCs w:val="24"/>
        </w:rPr>
        <w:t>二、 成交</w:t>
      </w:r>
      <w:r>
        <w:rPr>
          <w:rFonts w:hint="eastAsia" w:ascii="宋体" w:hAnsi="宋体"/>
          <w:b/>
          <w:bCs/>
          <w:color w:val="0000FF"/>
          <w:sz w:val="24"/>
          <w:szCs w:val="24"/>
        </w:rPr>
        <w:t>供应商及供货方式：</w:t>
      </w:r>
    </w:p>
    <w:p>
      <w:pPr>
        <w:spacing w:line="500" w:lineRule="exact"/>
        <w:ind w:firstLine="480" w:firstLineChars="200"/>
        <w:rPr>
          <w:color w:val="0000FF"/>
          <w:sz w:val="24"/>
          <w:szCs w:val="24"/>
        </w:rPr>
      </w:pPr>
      <w:r>
        <w:rPr>
          <w:rFonts w:hint="eastAsia"/>
          <w:color w:val="0000FF"/>
          <w:sz w:val="24"/>
          <w:szCs w:val="24"/>
        </w:rPr>
        <w:t>1. 通过评审，得分前三名的投标供应商为本次中标备选供应商，在一年内都有协议供货资格，招标人与中标备选供应商均签订协议供货合同。</w:t>
      </w:r>
    </w:p>
    <w:p>
      <w:pPr>
        <w:spacing w:line="500" w:lineRule="exact"/>
        <w:ind w:firstLine="480" w:firstLineChars="200"/>
        <w:rPr>
          <w:color w:val="0000FF"/>
          <w:sz w:val="24"/>
          <w:szCs w:val="24"/>
        </w:rPr>
      </w:pPr>
      <w:r>
        <w:rPr>
          <w:rFonts w:hint="eastAsia"/>
          <w:color w:val="0000FF"/>
          <w:sz w:val="24"/>
          <w:szCs w:val="24"/>
        </w:rPr>
        <w:t>2、报价周期为六个月，由采购单位（</w:t>
      </w:r>
      <w:r>
        <w:rPr>
          <w:rFonts w:hint="eastAsia"/>
          <w:sz w:val="24"/>
          <w:szCs w:val="24"/>
        </w:rPr>
        <w:t>后勤服务与管理处</w:t>
      </w:r>
      <w:r>
        <w:rPr>
          <w:rFonts w:hint="eastAsia"/>
          <w:color w:val="0000FF"/>
          <w:sz w:val="24"/>
          <w:szCs w:val="24"/>
        </w:rPr>
        <w:t>）向协议供货商发出一次报价邀请书，协议供货商按时间要求进行报价并提供货物样品。</w:t>
      </w:r>
    </w:p>
    <w:p>
      <w:pPr>
        <w:spacing w:line="500" w:lineRule="exact"/>
        <w:ind w:firstLine="480" w:firstLineChars="200"/>
        <w:rPr>
          <w:color w:val="0000FF"/>
          <w:sz w:val="24"/>
          <w:szCs w:val="24"/>
        </w:rPr>
      </w:pPr>
      <w:r>
        <w:rPr>
          <w:rFonts w:hint="eastAsia"/>
          <w:color w:val="0000FF"/>
          <w:sz w:val="24"/>
          <w:szCs w:val="24"/>
        </w:rPr>
        <w:t>3、. 采购单位（</w:t>
      </w:r>
      <w:r>
        <w:rPr>
          <w:rFonts w:hint="eastAsia"/>
          <w:sz w:val="24"/>
          <w:szCs w:val="24"/>
        </w:rPr>
        <w:t>后勤服务与管理处</w:t>
      </w:r>
      <w:r>
        <w:rPr>
          <w:rFonts w:hint="eastAsia"/>
          <w:color w:val="0000FF"/>
          <w:sz w:val="24"/>
          <w:szCs w:val="24"/>
        </w:rPr>
        <w:t>）在不超过最高限价的范围内，根据质优价低的原则确定每周期的供应商。</w:t>
      </w:r>
    </w:p>
    <w:p>
      <w:pPr>
        <w:spacing w:line="500" w:lineRule="exact"/>
        <w:ind w:firstLine="480" w:firstLineChars="200"/>
        <w:rPr>
          <w:color w:val="0000FF"/>
          <w:sz w:val="24"/>
          <w:szCs w:val="24"/>
        </w:rPr>
      </w:pPr>
      <w:r>
        <w:rPr>
          <w:rFonts w:hint="eastAsia"/>
          <w:color w:val="0000FF"/>
          <w:sz w:val="24"/>
          <w:szCs w:val="24"/>
        </w:rPr>
        <w:t>4 如果所有协议供货商的报价均超过最高限价，则采购单位（</w:t>
      </w:r>
      <w:r>
        <w:rPr>
          <w:rFonts w:hint="eastAsia"/>
          <w:sz w:val="24"/>
          <w:szCs w:val="24"/>
        </w:rPr>
        <w:t>后勤服务与管理处</w:t>
      </w:r>
      <w:r>
        <w:rPr>
          <w:rFonts w:hint="eastAsia"/>
          <w:color w:val="0000FF"/>
          <w:sz w:val="24"/>
          <w:szCs w:val="24"/>
        </w:rPr>
        <w:t>）可以在市场上直接采购（本直接采购为临时采购，临时采购的价格不应超过使用单位确定的最高限价，并在一周内再次调整最高限价和向供应商发出报价邀请书，进行再次报价）。</w:t>
      </w:r>
    </w:p>
    <w:p>
      <w:pPr>
        <w:spacing w:line="500" w:lineRule="exact"/>
        <w:ind w:firstLine="480" w:firstLineChars="200"/>
        <w:rPr>
          <w:color w:val="0000FF"/>
          <w:sz w:val="24"/>
          <w:szCs w:val="24"/>
        </w:rPr>
      </w:pPr>
      <w:r>
        <w:rPr>
          <w:rFonts w:hint="eastAsia"/>
          <w:color w:val="0000FF"/>
          <w:sz w:val="24"/>
          <w:szCs w:val="24"/>
        </w:rPr>
        <w:t>5、交货地点、日期：地点学生饭堂仓库，供货时间由《供货通知书》确定。</w:t>
      </w:r>
    </w:p>
    <w:p>
      <w:pPr>
        <w:spacing w:line="500" w:lineRule="exact"/>
        <w:ind w:firstLine="480" w:firstLineChars="200"/>
        <w:rPr>
          <w:color w:val="0000FF"/>
          <w:sz w:val="24"/>
          <w:szCs w:val="24"/>
        </w:rPr>
      </w:pPr>
      <w:r>
        <w:rPr>
          <w:rFonts w:hint="eastAsia"/>
          <w:color w:val="0000FF"/>
          <w:sz w:val="24"/>
          <w:szCs w:val="24"/>
        </w:rPr>
        <w:t>6、交货及验收方法、地点、期限：</w:t>
      </w:r>
    </w:p>
    <w:p>
      <w:pPr>
        <w:spacing w:line="500" w:lineRule="exact"/>
        <w:rPr>
          <w:color w:val="0000FF"/>
          <w:sz w:val="24"/>
          <w:szCs w:val="24"/>
        </w:rPr>
      </w:pPr>
      <w:r>
        <w:rPr>
          <w:rFonts w:hint="eastAsia"/>
          <w:color w:val="0000FF"/>
          <w:sz w:val="24"/>
          <w:szCs w:val="24"/>
        </w:rPr>
        <w:t>验收方法：按第二条质量要求进行验收；验收地点：</w:t>
      </w:r>
      <w:r>
        <w:rPr>
          <w:rFonts w:hint="eastAsia"/>
          <w:sz w:val="24"/>
          <w:szCs w:val="24"/>
        </w:rPr>
        <w:t>后勤服务与管理处饮食管理中心</w:t>
      </w:r>
      <w:r>
        <w:rPr>
          <w:rFonts w:hint="eastAsia"/>
          <w:color w:val="0000FF"/>
          <w:sz w:val="24"/>
          <w:szCs w:val="24"/>
        </w:rPr>
        <w:t>；</w:t>
      </w:r>
    </w:p>
    <w:p>
      <w:pPr>
        <w:spacing w:line="500" w:lineRule="exact"/>
        <w:rPr>
          <w:color w:val="0000FF"/>
          <w:sz w:val="24"/>
          <w:szCs w:val="24"/>
        </w:rPr>
      </w:pPr>
      <w:r>
        <w:rPr>
          <w:rFonts w:hint="eastAsia"/>
          <w:color w:val="0000FF"/>
          <w:sz w:val="24"/>
          <w:szCs w:val="24"/>
        </w:rPr>
        <w:t>验收期限：如对产品质量有异议，甲方须在5日内以书面形式通知乙方。</w:t>
      </w:r>
    </w:p>
    <w:p>
      <w:pPr>
        <w:spacing w:line="500" w:lineRule="exact"/>
        <w:ind w:firstLine="480" w:firstLineChars="200"/>
        <w:rPr>
          <w:color w:val="0000FF"/>
          <w:sz w:val="24"/>
          <w:szCs w:val="24"/>
        </w:rPr>
      </w:pPr>
      <w:r>
        <w:rPr>
          <w:rFonts w:hint="eastAsia"/>
          <w:color w:val="0000FF"/>
          <w:sz w:val="24"/>
          <w:szCs w:val="24"/>
        </w:rPr>
        <w:t>7、运输方式及运杂费负担：由乙方送货到甲方指定仓库，费用由乙方负责。</w:t>
      </w:r>
    </w:p>
    <w:p>
      <w:pPr>
        <w:spacing w:line="500" w:lineRule="exact"/>
        <w:ind w:firstLine="480" w:firstLineChars="200"/>
        <w:rPr>
          <w:rFonts w:ascii="宋体" w:hAnsi="宋体"/>
          <w:b/>
          <w:sz w:val="32"/>
          <w:szCs w:val="32"/>
        </w:rPr>
      </w:pPr>
      <w:r>
        <w:rPr>
          <w:rFonts w:hint="eastAsia"/>
          <w:color w:val="0000FF"/>
          <w:sz w:val="24"/>
          <w:szCs w:val="24"/>
        </w:rPr>
        <w:t>8、结算方法及期限：乙方交售的产品经验收合格后，甲方凭乙方单位正式发票和甲方食堂验收单，按学校规定通过银行转帐向乙方支付货款。</w:t>
      </w:r>
    </w:p>
    <w:p>
      <w:pPr>
        <w:rPr>
          <w:rFonts w:ascii="宋体" w:hAnsi="宋体"/>
          <w:b/>
          <w:sz w:val="32"/>
          <w:szCs w:val="32"/>
        </w:rPr>
      </w:pPr>
    </w:p>
    <w:p>
      <w:pPr>
        <w:ind w:firstLine="3036" w:firstLineChars="945"/>
        <w:rPr>
          <w:rFonts w:ascii="宋体" w:hAnsi="宋体"/>
          <w:b/>
          <w:sz w:val="32"/>
          <w:szCs w:val="32"/>
        </w:rPr>
      </w:pPr>
      <w:r>
        <w:rPr>
          <w:rFonts w:hint="eastAsia" w:ascii="宋体" w:hAnsi="宋体"/>
          <w:b/>
          <w:sz w:val="32"/>
          <w:szCs w:val="32"/>
        </w:rPr>
        <w:t>第二部分  评标办法</w:t>
      </w:r>
    </w:p>
    <w:p>
      <w:pPr>
        <w:adjustRightInd w:val="0"/>
        <w:snapToGrid w:val="0"/>
        <w:spacing w:before="240" w:line="360" w:lineRule="auto"/>
        <w:rPr>
          <w:rFonts w:ascii="宋体" w:hAnsi="宋体"/>
          <w:b/>
          <w:bCs/>
          <w:snapToGrid w:val="0"/>
          <w:kern w:val="0"/>
          <w:sz w:val="24"/>
        </w:rPr>
      </w:pPr>
      <w:r>
        <w:rPr>
          <w:rFonts w:hint="eastAsia" w:ascii="宋体" w:hAnsi="宋体"/>
          <w:b/>
          <w:bCs/>
          <w:snapToGrid w:val="0"/>
          <w:kern w:val="0"/>
          <w:sz w:val="24"/>
        </w:rPr>
        <w:t xml:space="preserve">    一、 </w:t>
      </w:r>
      <w:r>
        <w:rPr>
          <w:rFonts w:hint="eastAsia" w:ascii="宋体" w:hAnsi="宋体"/>
          <w:b/>
          <w:bCs/>
          <w:sz w:val="24"/>
        </w:rPr>
        <w:t>评审的基本原则及评审方法</w:t>
      </w:r>
    </w:p>
    <w:p>
      <w:pPr>
        <w:adjustRightInd w:val="0"/>
        <w:snapToGrid w:val="0"/>
        <w:spacing w:line="360" w:lineRule="auto"/>
        <w:ind w:left="720" w:hanging="720" w:hangingChars="300"/>
        <w:rPr>
          <w:rFonts w:ascii="宋体" w:hAnsi="宋体"/>
          <w:sz w:val="24"/>
        </w:rPr>
      </w:pPr>
      <w:r>
        <w:rPr>
          <w:rFonts w:hint="eastAsia" w:ascii="宋体" w:hAnsi="宋体"/>
          <w:snapToGrid w:val="0"/>
          <w:kern w:val="0"/>
          <w:sz w:val="24"/>
        </w:rPr>
        <w:t xml:space="preserve">1.  </w:t>
      </w:r>
      <w:r>
        <w:rPr>
          <w:rFonts w:hint="eastAsia" w:ascii="宋体" w:hAnsi="宋体"/>
          <w:sz w:val="24"/>
        </w:rPr>
        <w:t>评审工作依据《中华人民共和国政府采购法》以及国家和地方政府采购管理部门的有关规定，遵循“公平、公正、择优”的原则进行。</w:t>
      </w:r>
    </w:p>
    <w:p>
      <w:pPr>
        <w:adjustRightInd w:val="0"/>
        <w:snapToGrid w:val="0"/>
        <w:spacing w:line="360" w:lineRule="auto"/>
        <w:ind w:left="720" w:hanging="720" w:hangingChars="300"/>
        <w:rPr>
          <w:rFonts w:ascii="宋体" w:hAnsi="宋体"/>
          <w:sz w:val="24"/>
        </w:rPr>
      </w:pPr>
      <w:r>
        <w:rPr>
          <w:rFonts w:hint="eastAsia" w:ascii="宋体" w:hAnsi="宋体"/>
          <w:sz w:val="24"/>
        </w:rPr>
        <w:t>2.  本项目评审方法为</w:t>
      </w:r>
      <w:r>
        <w:rPr>
          <w:rFonts w:hint="eastAsia" w:ascii="宋体" w:hAnsi="宋体"/>
          <w:b/>
          <w:sz w:val="24"/>
          <w:u w:val="single"/>
        </w:rPr>
        <w:t>综合评分法</w:t>
      </w:r>
      <w:r>
        <w:rPr>
          <w:rFonts w:hint="eastAsia" w:ascii="宋体" w:hAnsi="宋体"/>
          <w:sz w:val="24"/>
        </w:rPr>
        <w:t>。</w:t>
      </w:r>
    </w:p>
    <w:p>
      <w:pPr>
        <w:adjustRightInd w:val="0"/>
        <w:snapToGrid w:val="0"/>
        <w:spacing w:line="360" w:lineRule="auto"/>
        <w:ind w:left="720" w:hanging="720" w:hangingChars="300"/>
        <w:rPr>
          <w:rFonts w:ascii="宋体" w:hAnsi="宋体"/>
          <w:b/>
          <w:bCs/>
          <w:sz w:val="24"/>
        </w:rPr>
      </w:pPr>
      <w:r>
        <w:rPr>
          <w:rFonts w:hint="eastAsia" w:ascii="宋体" w:hAnsi="宋体"/>
          <w:sz w:val="24"/>
        </w:rPr>
        <w:t xml:space="preserve">    </w:t>
      </w:r>
      <w:r>
        <w:rPr>
          <w:rFonts w:hint="eastAsia" w:ascii="宋体" w:hAnsi="宋体"/>
          <w:b/>
          <w:bCs/>
          <w:snapToGrid w:val="0"/>
          <w:kern w:val="0"/>
          <w:sz w:val="24"/>
        </w:rPr>
        <w:t>二、</w:t>
      </w:r>
      <w:r>
        <w:rPr>
          <w:rFonts w:hint="eastAsia" w:ascii="宋体" w:hAnsi="宋体"/>
          <w:b/>
          <w:bCs/>
          <w:sz w:val="24"/>
        </w:rPr>
        <w:t>评审程序</w:t>
      </w:r>
    </w:p>
    <w:p>
      <w:pPr>
        <w:adjustRightInd w:val="0"/>
        <w:snapToGrid w:val="0"/>
        <w:spacing w:line="360" w:lineRule="auto"/>
        <w:ind w:left="420" w:hanging="420" w:hangingChars="175"/>
        <w:rPr>
          <w:rFonts w:ascii="宋体" w:hAnsi="宋体"/>
          <w:snapToGrid w:val="0"/>
          <w:kern w:val="0"/>
          <w:sz w:val="24"/>
        </w:rPr>
      </w:pPr>
      <w:r>
        <w:rPr>
          <w:rFonts w:hint="eastAsia" w:ascii="宋体" w:hAnsi="宋体"/>
          <w:snapToGrid w:val="0"/>
          <w:kern w:val="0"/>
          <w:sz w:val="24"/>
        </w:rPr>
        <w:t xml:space="preserve">1. </w:t>
      </w:r>
      <w:r>
        <w:rPr>
          <w:rFonts w:hint="eastAsia" w:ascii="宋体" w:hAnsi="宋体"/>
          <w:sz w:val="24"/>
        </w:rPr>
        <w:t>开标；</w:t>
      </w:r>
    </w:p>
    <w:p>
      <w:pPr>
        <w:adjustRightInd w:val="0"/>
        <w:snapToGrid w:val="0"/>
        <w:spacing w:line="360" w:lineRule="auto"/>
        <w:ind w:left="720" w:hanging="720" w:hangingChars="300"/>
        <w:rPr>
          <w:rFonts w:ascii="宋体" w:hAnsi="宋体"/>
          <w:snapToGrid w:val="0"/>
          <w:kern w:val="0"/>
          <w:sz w:val="24"/>
        </w:rPr>
      </w:pPr>
      <w:r>
        <w:rPr>
          <w:rFonts w:hint="eastAsia" w:ascii="宋体" w:hAnsi="宋体"/>
          <w:sz w:val="24"/>
        </w:rPr>
        <w:t>2.评审委员会负责审阅报价文件，对有关内容进行审查：</w:t>
      </w:r>
    </w:p>
    <w:p>
      <w:pPr>
        <w:numPr>
          <w:ilvl w:val="0"/>
          <w:numId w:val="3"/>
        </w:numPr>
        <w:tabs>
          <w:tab w:val="left" w:pos="735"/>
        </w:tabs>
        <w:adjustRightInd w:val="0"/>
        <w:snapToGrid w:val="0"/>
        <w:spacing w:line="360" w:lineRule="auto"/>
        <w:rPr>
          <w:rFonts w:ascii="宋体" w:hAnsi="宋体"/>
          <w:sz w:val="24"/>
        </w:rPr>
      </w:pPr>
      <w:r>
        <w:rPr>
          <w:rFonts w:hint="eastAsia" w:ascii="宋体" w:hAnsi="宋体"/>
          <w:sz w:val="24"/>
        </w:rPr>
        <w:t>对投标商的资格、资质进行审查。</w:t>
      </w:r>
    </w:p>
    <w:p>
      <w:pPr>
        <w:numPr>
          <w:ilvl w:val="0"/>
          <w:numId w:val="3"/>
        </w:numPr>
        <w:adjustRightInd w:val="0"/>
        <w:snapToGrid w:val="0"/>
        <w:spacing w:line="360" w:lineRule="auto"/>
        <w:jc w:val="center"/>
        <w:rPr>
          <w:rFonts w:ascii="宋体" w:hAnsi="宋体"/>
          <w:snapToGrid w:val="0"/>
          <w:kern w:val="0"/>
          <w:sz w:val="24"/>
        </w:rPr>
      </w:pPr>
      <w:r>
        <w:rPr>
          <w:rFonts w:hint="eastAsia" w:ascii="宋体" w:hAnsi="宋体"/>
          <w:sz w:val="24"/>
        </w:rPr>
        <w:t>对投标文件格式进行初步审查，主要包括投标文件是否完整，投标文件的式</w:t>
      </w:r>
    </w:p>
    <w:p>
      <w:pPr>
        <w:adjustRightInd w:val="0"/>
        <w:snapToGrid w:val="0"/>
        <w:spacing w:line="360" w:lineRule="auto"/>
        <w:ind w:left="180"/>
        <w:rPr>
          <w:rFonts w:ascii="宋体" w:hAnsi="宋体"/>
          <w:snapToGrid w:val="0"/>
          <w:kern w:val="0"/>
          <w:sz w:val="24"/>
        </w:rPr>
      </w:pPr>
      <w:r>
        <w:rPr>
          <w:rFonts w:hint="eastAsia" w:ascii="宋体" w:hAnsi="宋体"/>
          <w:sz w:val="24"/>
        </w:rPr>
        <w:t>样和签署是否符合采购文件的要求，谈判保证金是否已足额提供。</w:t>
      </w:r>
    </w:p>
    <w:p>
      <w:pPr>
        <w:adjustRightInd w:val="0"/>
        <w:snapToGrid w:val="0"/>
        <w:spacing w:line="360" w:lineRule="auto"/>
        <w:ind w:left="360"/>
        <w:jc w:val="center"/>
        <w:rPr>
          <w:rFonts w:ascii="宋体" w:hAnsi="宋体"/>
          <w:b/>
          <w:snapToGrid w:val="0"/>
          <w:kern w:val="0"/>
          <w:sz w:val="24"/>
        </w:rPr>
      </w:pPr>
      <w:r>
        <w:rPr>
          <w:rFonts w:hint="eastAsia" w:ascii="宋体" w:hAnsi="宋体"/>
          <w:b/>
          <w:sz w:val="24"/>
        </w:rPr>
        <w:t>初步审查表</w:t>
      </w:r>
    </w:p>
    <w:tbl>
      <w:tblPr>
        <w:tblStyle w:val="9"/>
        <w:tblW w:w="8019" w:type="dxa"/>
        <w:jc w:val="center"/>
        <w:tblInd w:w="4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3060"/>
        <w:gridCol w:w="1273"/>
        <w:gridCol w:w="162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806" w:type="dxa"/>
            <w:vAlign w:val="center"/>
          </w:tcPr>
          <w:p>
            <w:pPr>
              <w:spacing w:line="324" w:lineRule="auto"/>
              <w:jc w:val="center"/>
              <w:rPr>
                <w:rFonts w:ascii="宋体" w:hAnsi="宋体"/>
                <w:b/>
                <w:color w:val="000000"/>
                <w:sz w:val="24"/>
              </w:rPr>
            </w:pPr>
            <w:r>
              <w:rPr>
                <w:rFonts w:hint="eastAsia" w:ascii="宋体" w:hAnsi="宋体"/>
                <w:b/>
                <w:color w:val="000000"/>
                <w:sz w:val="24"/>
              </w:rPr>
              <w:t>序号</w:t>
            </w:r>
          </w:p>
        </w:tc>
        <w:tc>
          <w:tcPr>
            <w:tcW w:w="3060" w:type="dxa"/>
            <w:vAlign w:val="center"/>
          </w:tcPr>
          <w:p>
            <w:pPr>
              <w:spacing w:line="324" w:lineRule="auto"/>
              <w:jc w:val="center"/>
              <w:rPr>
                <w:rFonts w:ascii="宋体" w:hAnsi="宋体"/>
                <w:b/>
                <w:color w:val="000000"/>
                <w:sz w:val="24"/>
              </w:rPr>
            </w:pPr>
            <w:r>
              <w:rPr>
                <w:rFonts w:hint="eastAsia" w:ascii="宋体" w:hAnsi="宋体"/>
                <w:b/>
                <w:color w:val="000000"/>
                <w:sz w:val="24"/>
              </w:rPr>
              <w:t>评审内容</w:t>
            </w:r>
          </w:p>
        </w:tc>
        <w:tc>
          <w:tcPr>
            <w:tcW w:w="1273" w:type="dxa"/>
            <w:vAlign w:val="center"/>
          </w:tcPr>
          <w:p>
            <w:pPr>
              <w:spacing w:line="324" w:lineRule="auto"/>
              <w:jc w:val="center"/>
              <w:rPr>
                <w:rFonts w:ascii="宋体" w:hAnsi="宋体"/>
                <w:b/>
                <w:color w:val="000000"/>
                <w:sz w:val="24"/>
              </w:rPr>
            </w:pPr>
            <w:r>
              <w:rPr>
                <w:rFonts w:hint="eastAsia" w:ascii="宋体" w:hAnsi="宋体"/>
                <w:b/>
                <w:color w:val="000000"/>
                <w:sz w:val="24"/>
              </w:rPr>
              <w:t>报价人A</w:t>
            </w:r>
          </w:p>
        </w:tc>
        <w:tc>
          <w:tcPr>
            <w:tcW w:w="1620" w:type="dxa"/>
            <w:vAlign w:val="center"/>
          </w:tcPr>
          <w:p>
            <w:pPr>
              <w:spacing w:line="324" w:lineRule="auto"/>
              <w:jc w:val="center"/>
              <w:rPr>
                <w:rFonts w:ascii="宋体" w:hAnsi="宋体"/>
                <w:b/>
                <w:color w:val="000000"/>
                <w:sz w:val="24"/>
              </w:rPr>
            </w:pPr>
            <w:r>
              <w:rPr>
                <w:rFonts w:hint="eastAsia" w:ascii="宋体" w:hAnsi="宋体"/>
                <w:b/>
                <w:color w:val="000000"/>
                <w:sz w:val="24"/>
              </w:rPr>
              <w:t>报价人B</w:t>
            </w:r>
          </w:p>
        </w:tc>
        <w:tc>
          <w:tcPr>
            <w:tcW w:w="1260" w:type="dxa"/>
            <w:vAlign w:val="center"/>
          </w:tcPr>
          <w:p>
            <w:pPr>
              <w:spacing w:line="324" w:lineRule="auto"/>
              <w:jc w:val="center"/>
              <w:rPr>
                <w:rFonts w:ascii="宋体" w:hAnsi="宋体"/>
                <w:b/>
                <w:color w:val="000000"/>
                <w:sz w:val="24"/>
              </w:rPr>
            </w:pPr>
            <w:r>
              <w:rPr>
                <w:rFonts w:hint="eastAsia" w:ascii="宋体" w:hAnsi="宋体"/>
                <w:b/>
                <w:color w:val="000000"/>
                <w:sz w:val="24"/>
              </w:rPr>
              <w:t>报价人C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806" w:type="dxa"/>
            <w:vAlign w:val="center"/>
          </w:tcPr>
          <w:p>
            <w:pPr>
              <w:spacing w:line="324" w:lineRule="auto"/>
              <w:jc w:val="center"/>
              <w:rPr>
                <w:rFonts w:ascii="宋体" w:hAnsi="宋体"/>
                <w:color w:val="000000"/>
                <w:sz w:val="24"/>
              </w:rPr>
            </w:pPr>
            <w:r>
              <w:rPr>
                <w:rFonts w:hint="eastAsia" w:ascii="宋体" w:hAnsi="宋体"/>
                <w:color w:val="000000"/>
                <w:sz w:val="24"/>
              </w:rPr>
              <w:t>1</w:t>
            </w:r>
          </w:p>
        </w:tc>
        <w:tc>
          <w:tcPr>
            <w:tcW w:w="3060" w:type="dxa"/>
            <w:vAlign w:val="center"/>
          </w:tcPr>
          <w:p>
            <w:pPr>
              <w:spacing w:line="324" w:lineRule="auto"/>
              <w:rPr>
                <w:rFonts w:ascii="宋体" w:hAnsi="宋体"/>
                <w:color w:val="000000"/>
                <w:sz w:val="24"/>
              </w:rPr>
            </w:pPr>
            <w:r>
              <w:rPr>
                <w:rFonts w:hint="eastAsia" w:ascii="宋体" w:hAnsi="宋体"/>
                <w:color w:val="000000"/>
                <w:sz w:val="24"/>
              </w:rPr>
              <w:t>符合合格投标人的要求</w:t>
            </w:r>
          </w:p>
        </w:tc>
        <w:tc>
          <w:tcPr>
            <w:tcW w:w="1273" w:type="dxa"/>
            <w:vAlign w:val="center"/>
          </w:tcPr>
          <w:p>
            <w:pPr>
              <w:spacing w:line="324" w:lineRule="auto"/>
              <w:jc w:val="center"/>
              <w:rPr>
                <w:rFonts w:ascii="宋体" w:hAnsi="宋体"/>
                <w:color w:val="000000"/>
                <w:sz w:val="24"/>
              </w:rPr>
            </w:pPr>
          </w:p>
        </w:tc>
        <w:tc>
          <w:tcPr>
            <w:tcW w:w="1620" w:type="dxa"/>
            <w:vAlign w:val="center"/>
          </w:tcPr>
          <w:p>
            <w:pPr>
              <w:spacing w:line="324" w:lineRule="auto"/>
              <w:jc w:val="center"/>
              <w:rPr>
                <w:rFonts w:ascii="宋体" w:hAnsi="宋体"/>
                <w:color w:val="000000"/>
                <w:sz w:val="24"/>
              </w:rPr>
            </w:pPr>
          </w:p>
        </w:tc>
        <w:tc>
          <w:tcPr>
            <w:tcW w:w="1260" w:type="dxa"/>
            <w:vAlign w:val="center"/>
          </w:tcPr>
          <w:p>
            <w:pPr>
              <w:spacing w:line="324"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806" w:type="dxa"/>
            <w:vAlign w:val="center"/>
          </w:tcPr>
          <w:p>
            <w:pPr>
              <w:spacing w:line="324" w:lineRule="auto"/>
              <w:jc w:val="center"/>
              <w:rPr>
                <w:rFonts w:ascii="宋体" w:hAnsi="宋体"/>
                <w:color w:val="000000"/>
                <w:sz w:val="24"/>
              </w:rPr>
            </w:pPr>
            <w:r>
              <w:rPr>
                <w:rFonts w:hint="eastAsia" w:ascii="宋体" w:hAnsi="宋体"/>
                <w:color w:val="000000"/>
                <w:sz w:val="24"/>
              </w:rPr>
              <w:t>2</w:t>
            </w:r>
          </w:p>
        </w:tc>
        <w:tc>
          <w:tcPr>
            <w:tcW w:w="3060" w:type="dxa"/>
            <w:vAlign w:val="center"/>
          </w:tcPr>
          <w:p>
            <w:pPr>
              <w:spacing w:line="324" w:lineRule="auto"/>
              <w:rPr>
                <w:rFonts w:ascii="宋体" w:hAnsi="宋体"/>
                <w:color w:val="000000"/>
                <w:sz w:val="24"/>
              </w:rPr>
            </w:pPr>
            <w:r>
              <w:rPr>
                <w:rFonts w:hint="eastAsia" w:ascii="宋体" w:hAnsi="宋体"/>
                <w:color w:val="000000"/>
                <w:sz w:val="24"/>
              </w:rPr>
              <w:t>谈判保证金是否已足额递交</w:t>
            </w:r>
          </w:p>
        </w:tc>
        <w:tc>
          <w:tcPr>
            <w:tcW w:w="1273" w:type="dxa"/>
            <w:vAlign w:val="center"/>
          </w:tcPr>
          <w:p>
            <w:pPr>
              <w:spacing w:line="324" w:lineRule="auto"/>
              <w:jc w:val="center"/>
              <w:rPr>
                <w:rFonts w:ascii="宋体" w:hAnsi="宋体"/>
                <w:color w:val="000000"/>
                <w:sz w:val="24"/>
              </w:rPr>
            </w:pPr>
          </w:p>
        </w:tc>
        <w:tc>
          <w:tcPr>
            <w:tcW w:w="1620" w:type="dxa"/>
            <w:vAlign w:val="center"/>
          </w:tcPr>
          <w:p>
            <w:pPr>
              <w:spacing w:line="324" w:lineRule="auto"/>
              <w:jc w:val="center"/>
              <w:rPr>
                <w:rFonts w:ascii="宋体" w:hAnsi="宋体"/>
                <w:color w:val="000000"/>
                <w:sz w:val="24"/>
              </w:rPr>
            </w:pPr>
          </w:p>
        </w:tc>
        <w:tc>
          <w:tcPr>
            <w:tcW w:w="1260" w:type="dxa"/>
            <w:vAlign w:val="center"/>
          </w:tcPr>
          <w:p>
            <w:pPr>
              <w:spacing w:line="324"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3" w:hRule="atLeast"/>
          <w:jc w:val="center"/>
        </w:trPr>
        <w:tc>
          <w:tcPr>
            <w:tcW w:w="806" w:type="dxa"/>
            <w:vAlign w:val="center"/>
          </w:tcPr>
          <w:p>
            <w:pPr>
              <w:spacing w:line="324" w:lineRule="auto"/>
              <w:jc w:val="center"/>
              <w:rPr>
                <w:rFonts w:ascii="宋体" w:hAnsi="宋体"/>
                <w:color w:val="000000"/>
                <w:sz w:val="24"/>
              </w:rPr>
            </w:pPr>
            <w:r>
              <w:rPr>
                <w:rFonts w:hint="eastAsia" w:ascii="宋体" w:hAnsi="宋体"/>
                <w:color w:val="000000"/>
                <w:sz w:val="24"/>
              </w:rPr>
              <w:t>3</w:t>
            </w:r>
          </w:p>
        </w:tc>
        <w:tc>
          <w:tcPr>
            <w:tcW w:w="3060" w:type="dxa"/>
            <w:vAlign w:val="center"/>
          </w:tcPr>
          <w:p>
            <w:pPr>
              <w:spacing w:line="324" w:lineRule="auto"/>
              <w:rPr>
                <w:rFonts w:ascii="宋体" w:hAnsi="宋体"/>
                <w:color w:val="000000"/>
                <w:sz w:val="24"/>
              </w:rPr>
            </w:pPr>
            <w:r>
              <w:rPr>
                <w:rFonts w:hint="eastAsia" w:ascii="宋体" w:hAnsi="宋体"/>
                <w:color w:val="000000"/>
                <w:sz w:val="24"/>
              </w:rPr>
              <w:t>是否符合谈判文件的式样和签署要求</w:t>
            </w:r>
          </w:p>
        </w:tc>
        <w:tc>
          <w:tcPr>
            <w:tcW w:w="1273" w:type="dxa"/>
            <w:vAlign w:val="center"/>
          </w:tcPr>
          <w:p>
            <w:pPr>
              <w:spacing w:line="324" w:lineRule="auto"/>
              <w:jc w:val="center"/>
              <w:rPr>
                <w:rFonts w:ascii="宋体" w:hAnsi="宋体"/>
                <w:color w:val="000000"/>
                <w:sz w:val="24"/>
              </w:rPr>
            </w:pPr>
          </w:p>
        </w:tc>
        <w:tc>
          <w:tcPr>
            <w:tcW w:w="1620" w:type="dxa"/>
            <w:vAlign w:val="center"/>
          </w:tcPr>
          <w:p>
            <w:pPr>
              <w:spacing w:line="324" w:lineRule="auto"/>
              <w:jc w:val="center"/>
              <w:rPr>
                <w:rFonts w:ascii="宋体" w:hAnsi="宋体"/>
                <w:color w:val="000000"/>
                <w:sz w:val="24"/>
              </w:rPr>
            </w:pPr>
          </w:p>
        </w:tc>
        <w:tc>
          <w:tcPr>
            <w:tcW w:w="1260" w:type="dxa"/>
            <w:vAlign w:val="center"/>
          </w:tcPr>
          <w:p>
            <w:pPr>
              <w:spacing w:line="324"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806" w:type="dxa"/>
            <w:vAlign w:val="center"/>
          </w:tcPr>
          <w:p>
            <w:pPr>
              <w:spacing w:line="324" w:lineRule="auto"/>
              <w:jc w:val="center"/>
              <w:rPr>
                <w:rFonts w:ascii="宋体" w:hAnsi="宋体"/>
                <w:color w:val="000000"/>
                <w:sz w:val="24"/>
              </w:rPr>
            </w:pPr>
            <w:r>
              <w:rPr>
                <w:rFonts w:hint="eastAsia" w:ascii="宋体" w:hAnsi="宋体"/>
                <w:color w:val="000000"/>
                <w:sz w:val="24"/>
              </w:rPr>
              <w:t>4</w:t>
            </w:r>
          </w:p>
        </w:tc>
        <w:tc>
          <w:tcPr>
            <w:tcW w:w="3060" w:type="dxa"/>
            <w:vAlign w:val="center"/>
          </w:tcPr>
          <w:p>
            <w:pPr>
              <w:spacing w:line="324" w:lineRule="auto"/>
              <w:rPr>
                <w:rFonts w:ascii="宋体" w:hAnsi="宋体"/>
                <w:color w:val="000000"/>
                <w:sz w:val="24"/>
              </w:rPr>
            </w:pPr>
            <w:r>
              <w:rPr>
                <w:rFonts w:hint="eastAsia" w:ascii="宋体" w:hAnsi="宋体"/>
                <w:color w:val="000000"/>
                <w:sz w:val="24"/>
              </w:rPr>
              <w:t>商务是否有重大偏差</w:t>
            </w:r>
          </w:p>
        </w:tc>
        <w:tc>
          <w:tcPr>
            <w:tcW w:w="1273" w:type="dxa"/>
            <w:vAlign w:val="center"/>
          </w:tcPr>
          <w:p>
            <w:pPr>
              <w:spacing w:line="324" w:lineRule="auto"/>
              <w:jc w:val="center"/>
              <w:rPr>
                <w:rFonts w:ascii="宋体" w:hAnsi="宋体"/>
                <w:color w:val="000000"/>
                <w:sz w:val="24"/>
              </w:rPr>
            </w:pPr>
          </w:p>
        </w:tc>
        <w:tc>
          <w:tcPr>
            <w:tcW w:w="1620" w:type="dxa"/>
            <w:vAlign w:val="center"/>
          </w:tcPr>
          <w:p>
            <w:pPr>
              <w:spacing w:line="324" w:lineRule="auto"/>
              <w:jc w:val="center"/>
              <w:rPr>
                <w:rFonts w:ascii="宋体" w:hAnsi="宋体"/>
                <w:color w:val="000000"/>
                <w:sz w:val="24"/>
              </w:rPr>
            </w:pPr>
          </w:p>
        </w:tc>
        <w:tc>
          <w:tcPr>
            <w:tcW w:w="1260" w:type="dxa"/>
            <w:vAlign w:val="center"/>
          </w:tcPr>
          <w:p>
            <w:pPr>
              <w:spacing w:line="324"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3" w:hRule="atLeast"/>
          <w:jc w:val="center"/>
        </w:trPr>
        <w:tc>
          <w:tcPr>
            <w:tcW w:w="806" w:type="dxa"/>
            <w:vAlign w:val="center"/>
          </w:tcPr>
          <w:p>
            <w:pPr>
              <w:spacing w:line="324" w:lineRule="auto"/>
              <w:jc w:val="center"/>
              <w:rPr>
                <w:rFonts w:ascii="宋体" w:hAnsi="宋体"/>
                <w:color w:val="000000"/>
                <w:sz w:val="24"/>
              </w:rPr>
            </w:pPr>
            <w:r>
              <w:rPr>
                <w:rFonts w:hint="eastAsia" w:ascii="宋体" w:hAnsi="宋体"/>
                <w:color w:val="000000"/>
                <w:sz w:val="24"/>
              </w:rPr>
              <w:t>5</w:t>
            </w:r>
          </w:p>
        </w:tc>
        <w:tc>
          <w:tcPr>
            <w:tcW w:w="3060" w:type="dxa"/>
            <w:vAlign w:val="center"/>
          </w:tcPr>
          <w:p>
            <w:pPr>
              <w:spacing w:line="324" w:lineRule="auto"/>
              <w:rPr>
                <w:rFonts w:ascii="宋体" w:hAnsi="宋体"/>
                <w:color w:val="000000"/>
                <w:sz w:val="24"/>
              </w:rPr>
            </w:pPr>
            <w:r>
              <w:rPr>
                <w:rFonts w:hint="eastAsia" w:ascii="宋体" w:hAnsi="宋体"/>
                <w:color w:val="000000"/>
                <w:sz w:val="24"/>
              </w:rPr>
              <w:t>是否有其它未实质性响应谈判文件的要求</w:t>
            </w:r>
          </w:p>
        </w:tc>
        <w:tc>
          <w:tcPr>
            <w:tcW w:w="1273" w:type="dxa"/>
            <w:vAlign w:val="center"/>
          </w:tcPr>
          <w:p>
            <w:pPr>
              <w:spacing w:line="324" w:lineRule="auto"/>
              <w:jc w:val="center"/>
              <w:rPr>
                <w:rFonts w:ascii="宋体" w:hAnsi="宋体"/>
                <w:color w:val="000000"/>
                <w:sz w:val="24"/>
              </w:rPr>
            </w:pPr>
          </w:p>
        </w:tc>
        <w:tc>
          <w:tcPr>
            <w:tcW w:w="1620" w:type="dxa"/>
            <w:vAlign w:val="center"/>
          </w:tcPr>
          <w:p>
            <w:pPr>
              <w:spacing w:line="324" w:lineRule="auto"/>
              <w:jc w:val="center"/>
              <w:rPr>
                <w:rFonts w:ascii="宋体" w:hAnsi="宋体"/>
                <w:color w:val="000000"/>
                <w:sz w:val="24"/>
              </w:rPr>
            </w:pPr>
          </w:p>
        </w:tc>
        <w:tc>
          <w:tcPr>
            <w:tcW w:w="1260" w:type="dxa"/>
            <w:vAlign w:val="center"/>
          </w:tcPr>
          <w:p>
            <w:pPr>
              <w:spacing w:line="324"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3" w:hRule="atLeast"/>
          <w:jc w:val="center"/>
        </w:trPr>
        <w:tc>
          <w:tcPr>
            <w:tcW w:w="806" w:type="dxa"/>
            <w:vAlign w:val="center"/>
          </w:tcPr>
          <w:p>
            <w:pPr>
              <w:spacing w:line="324" w:lineRule="auto"/>
              <w:jc w:val="center"/>
              <w:rPr>
                <w:rFonts w:ascii="宋体" w:hAnsi="宋体"/>
                <w:color w:val="000000"/>
                <w:sz w:val="24"/>
              </w:rPr>
            </w:pPr>
          </w:p>
        </w:tc>
        <w:tc>
          <w:tcPr>
            <w:tcW w:w="3060" w:type="dxa"/>
            <w:vAlign w:val="center"/>
          </w:tcPr>
          <w:p>
            <w:pPr>
              <w:spacing w:line="324" w:lineRule="auto"/>
              <w:jc w:val="center"/>
              <w:rPr>
                <w:rFonts w:ascii="宋体" w:hAnsi="宋体"/>
                <w:color w:val="000000"/>
                <w:sz w:val="24"/>
              </w:rPr>
            </w:pPr>
            <w:r>
              <w:rPr>
                <w:rFonts w:hint="eastAsia" w:ascii="宋体" w:hAnsi="宋体"/>
                <w:color w:val="000000"/>
                <w:sz w:val="24"/>
              </w:rPr>
              <w:t>结论</w:t>
            </w:r>
          </w:p>
        </w:tc>
        <w:tc>
          <w:tcPr>
            <w:tcW w:w="1273" w:type="dxa"/>
            <w:vAlign w:val="center"/>
          </w:tcPr>
          <w:p>
            <w:pPr>
              <w:spacing w:line="324" w:lineRule="auto"/>
              <w:jc w:val="center"/>
              <w:rPr>
                <w:rFonts w:ascii="宋体" w:hAnsi="宋体"/>
                <w:color w:val="000000"/>
                <w:sz w:val="24"/>
              </w:rPr>
            </w:pPr>
          </w:p>
        </w:tc>
        <w:tc>
          <w:tcPr>
            <w:tcW w:w="1620" w:type="dxa"/>
            <w:vAlign w:val="center"/>
          </w:tcPr>
          <w:p>
            <w:pPr>
              <w:spacing w:line="324" w:lineRule="auto"/>
              <w:jc w:val="center"/>
              <w:rPr>
                <w:rFonts w:ascii="宋体" w:hAnsi="宋体"/>
                <w:color w:val="000000"/>
                <w:sz w:val="24"/>
              </w:rPr>
            </w:pPr>
          </w:p>
        </w:tc>
        <w:tc>
          <w:tcPr>
            <w:tcW w:w="1260" w:type="dxa"/>
            <w:vAlign w:val="center"/>
          </w:tcPr>
          <w:p>
            <w:pPr>
              <w:spacing w:line="324" w:lineRule="auto"/>
              <w:jc w:val="center"/>
              <w:rPr>
                <w:rFonts w:ascii="宋体" w:hAnsi="宋体"/>
                <w:color w:val="000000"/>
                <w:sz w:val="24"/>
              </w:rPr>
            </w:pPr>
          </w:p>
        </w:tc>
      </w:tr>
    </w:tbl>
    <w:p>
      <w:pPr>
        <w:spacing w:line="360" w:lineRule="auto"/>
        <w:rPr>
          <w:rFonts w:ascii="宋体" w:hAnsi="宋体"/>
          <w:bCs/>
          <w:sz w:val="24"/>
        </w:rPr>
      </w:pPr>
      <w:r>
        <w:rPr>
          <w:rFonts w:hint="eastAsia" w:ascii="宋体" w:hAnsi="宋体"/>
          <w:bCs/>
          <w:sz w:val="24"/>
        </w:rPr>
        <w:t xml:space="preserve">   3. 有下列情形之一的，为无效投标，取消进入最终评审资格：</w:t>
      </w:r>
    </w:p>
    <w:p>
      <w:pPr>
        <w:spacing w:line="360" w:lineRule="auto"/>
        <w:ind w:firstLine="480" w:firstLineChars="200"/>
        <w:rPr>
          <w:rFonts w:ascii="宋体" w:hAnsi="宋体"/>
          <w:bCs/>
          <w:sz w:val="24"/>
        </w:rPr>
      </w:pPr>
      <w:r>
        <w:rPr>
          <w:rFonts w:hint="eastAsia" w:ascii="宋体" w:hAnsi="宋体"/>
          <w:bCs/>
          <w:sz w:val="24"/>
        </w:rPr>
        <w:t>（1）</w:t>
      </w:r>
      <w:r>
        <w:rPr>
          <w:rFonts w:hint="eastAsia" w:ascii="宋体" w:hAnsi="宋体"/>
          <w:bCs/>
          <w:sz w:val="24"/>
        </w:rPr>
        <w:tab/>
      </w:r>
      <w:r>
        <w:rPr>
          <w:rFonts w:hint="eastAsia" w:ascii="宋体" w:hAnsi="宋体"/>
          <w:bCs/>
          <w:sz w:val="24"/>
        </w:rPr>
        <w:t>未提供有关资格证明文件，经谈判小组要求后又不能在规定时间内补齐的；</w:t>
      </w:r>
    </w:p>
    <w:p>
      <w:pPr>
        <w:spacing w:line="360" w:lineRule="auto"/>
        <w:ind w:firstLine="480" w:firstLineChars="200"/>
        <w:rPr>
          <w:rFonts w:ascii="宋体" w:hAnsi="宋体"/>
          <w:bCs/>
          <w:sz w:val="24"/>
        </w:rPr>
      </w:pPr>
      <w:r>
        <w:rPr>
          <w:rFonts w:hint="eastAsia" w:ascii="宋体" w:hAnsi="宋体"/>
          <w:bCs/>
          <w:sz w:val="24"/>
        </w:rPr>
        <w:t>（2）</w:t>
      </w:r>
      <w:r>
        <w:rPr>
          <w:rFonts w:hint="eastAsia" w:ascii="宋体" w:hAnsi="宋体"/>
          <w:bCs/>
          <w:sz w:val="24"/>
        </w:rPr>
        <w:tab/>
      </w:r>
      <w:r>
        <w:rPr>
          <w:rFonts w:hint="eastAsia" w:ascii="宋体" w:hAnsi="宋体"/>
          <w:bCs/>
          <w:sz w:val="24"/>
        </w:rPr>
        <w:t>未提交谈判保证金或保证金金额不足的；</w:t>
      </w:r>
    </w:p>
    <w:p>
      <w:pPr>
        <w:spacing w:line="360" w:lineRule="auto"/>
        <w:ind w:firstLine="480" w:firstLineChars="200"/>
        <w:rPr>
          <w:rFonts w:ascii="宋体" w:hAnsi="宋体"/>
          <w:bCs/>
          <w:sz w:val="24"/>
        </w:rPr>
      </w:pPr>
      <w:r>
        <w:rPr>
          <w:rFonts w:hint="eastAsia" w:ascii="宋体" w:hAnsi="宋体"/>
          <w:bCs/>
          <w:sz w:val="24"/>
        </w:rPr>
        <w:t>（3）</w:t>
      </w:r>
      <w:r>
        <w:rPr>
          <w:rFonts w:hint="eastAsia" w:ascii="宋体" w:hAnsi="宋体"/>
          <w:bCs/>
          <w:sz w:val="24"/>
        </w:rPr>
        <w:tab/>
      </w:r>
      <w:r>
        <w:rPr>
          <w:rFonts w:hint="eastAsia" w:ascii="宋体" w:hAnsi="宋体"/>
          <w:bCs/>
          <w:sz w:val="24"/>
        </w:rPr>
        <w:t>谈判有效期不足的；</w:t>
      </w:r>
    </w:p>
    <w:p>
      <w:pPr>
        <w:spacing w:line="360" w:lineRule="auto"/>
        <w:ind w:firstLine="480" w:firstLineChars="200"/>
        <w:rPr>
          <w:rFonts w:ascii="宋体" w:hAnsi="宋体"/>
          <w:bCs/>
          <w:sz w:val="24"/>
        </w:rPr>
      </w:pPr>
      <w:r>
        <w:rPr>
          <w:rFonts w:hint="eastAsia" w:ascii="宋体" w:hAnsi="宋体"/>
          <w:bCs/>
          <w:sz w:val="24"/>
        </w:rPr>
        <w:t>（4）</w:t>
      </w:r>
      <w:r>
        <w:rPr>
          <w:rFonts w:hint="eastAsia" w:ascii="宋体" w:hAnsi="宋体"/>
          <w:bCs/>
          <w:sz w:val="24"/>
        </w:rPr>
        <w:tab/>
      </w:r>
      <w:r>
        <w:rPr>
          <w:rFonts w:hint="eastAsia" w:ascii="宋体" w:hAnsi="宋体"/>
          <w:bCs/>
          <w:sz w:val="24"/>
        </w:rPr>
        <w:t>报价文件不符合采购文件的式样和签署要求的；</w:t>
      </w:r>
    </w:p>
    <w:p>
      <w:pPr>
        <w:spacing w:line="360" w:lineRule="auto"/>
        <w:ind w:firstLine="480" w:firstLineChars="200"/>
        <w:rPr>
          <w:rFonts w:ascii="宋体" w:hAnsi="宋体"/>
          <w:bCs/>
          <w:sz w:val="24"/>
        </w:rPr>
      </w:pPr>
      <w:r>
        <w:rPr>
          <w:rFonts w:hint="eastAsia" w:ascii="宋体" w:hAnsi="宋体"/>
          <w:bCs/>
          <w:sz w:val="24"/>
        </w:rPr>
        <w:t>（5）</w:t>
      </w:r>
      <w:r>
        <w:rPr>
          <w:rFonts w:hint="eastAsia" w:ascii="宋体" w:hAnsi="宋体"/>
          <w:bCs/>
          <w:sz w:val="24"/>
        </w:rPr>
        <w:tab/>
      </w:r>
      <w:r>
        <w:rPr>
          <w:rFonts w:hint="eastAsia" w:ascii="宋体" w:hAnsi="宋体"/>
          <w:bCs/>
          <w:sz w:val="24"/>
        </w:rPr>
        <w:t>技术指标低于《谈判项目要求》中技术要求的；</w:t>
      </w:r>
    </w:p>
    <w:p>
      <w:pPr>
        <w:spacing w:line="360" w:lineRule="auto"/>
        <w:ind w:firstLine="480" w:firstLineChars="200"/>
        <w:rPr>
          <w:rFonts w:ascii="宋体" w:hAnsi="宋体"/>
          <w:bCs/>
          <w:sz w:val="24"/>
        </w:rPr>
      </w:pPr>
      <w:r>
        <w:rPr>
          <w:rFonts w:hint="eastAsia" w:ascii="宋体" w:hAnsi="宋体"/>
          <w:bCs/>
          <w:sz w:val="24"/>
        </w:rPr>
        <w:t>（6）  评委认为未能实质性响应采购文件要求的。</w:t>
      </w:r>
    </w:p>
    <w:p>
      <w:pPr>
        <w:spacing w:line="360" w:lineRule="auto"/>
        <w:ind w:firstLine="480" w:firstLineChars="200"/>
        <w:rPr>
          <w:rFonts w:ascii="宋体" w:hAnsi="宋体"/>
          <w:bCs/>
          <w:sz w:val="24"/>
        </w:rPr>
      </w:pPr>
      <w:r>
        <w:rPr>
          <w:rFonts w:hint="eastAsia" w:ascii="宋体" w:hAnsi="宋体"/>
          <w:bCs/>
          <w:sz w:val="24"/>
        </w:rPr>
        <w:t>4. 评审打分：</w:t>
      </w:r>
    </w:p>
    <w:p>
      <w:pPr>
        <w:spacing w:line="360" w:lineRule="auto"/>
        <w:ind w:firstLine="480" w:firstLineChars="200"/>
        <w:rPr>
          <w:rFonts w:ascii="宋体" w:hAnsi="宋体"/>
          <w:bCs/>
          <w:sz w:val="24"/>
        </w:rPr>
      </w:pPr>
      <w:r>
        <w:rPr>
          <w:rFonts w:hint="eastAsia" w:ascii="宋体" w:hAnsi="宋体"/>
          <w:bCs/>
          <w:sz w:val="24"/>
        </w:rPr>
        <w:t>（1）</w:t>
      </w:r>
      <w:r>
        <w:rPr>
          <w:rFonts w:hint="eastAsia" w:ascii="宋体" w:hAnsi="宋体"/>
          <w:sz w:val="24"/>
        </w:rPr>
        <w:t>对投标人商务和服务内容进行审查及打分，主要包括谈判投标商的商务和服务内容是否满足采购文件的要求。</w:t>
      </w:r>
    </w:p>
    <w:p>
      <w:pPr>
        <w:adjustRightInd w:val="0"/>
        <w:snapToGrid w:val="0"/>
        <w:spacing w:line="324" w:lineRule="auto"/>
        <w:ind w:left="843" w:hanging="843" w:hangingChars="300"/>
        <w:jc w:val="center"/>
        <w:rPr>
          <w:rFonts w:ascii="宋体" w:hAnsi="宋体"/>
          <w:b/>
          <w:color w:val="000000"/>
          <w:sz w:val="28"/>
          <w:szCs w:val="28"/>
        </w:rPr>
      </w:pPr>
      <w:r>
        <w:rPr>
          <w:rFonts w:hint="eastAsia" w:ascii="宋体" w:hAnsi="宋体"/>
          <w:b/>
          <w:color w:val="000000"/>
          <w:sz w:val="28"/>
          <w:szCs w:val="28"/>
        </w:rPr>
        <w:t>综合评分表</w:t>
      </w:r>
    </w:p>
    <w:tbl>
      <w:tblPr>
        <w:tblStyle w:val="9"/>
        <w:tblW w:w="92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88"/>
        <w:gridCol w:w="720"/>
        <w:gridCol w:w="5040"/>
        <w:gridCol w:w="900"/>
        <w:gridCol w:w="13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trPr>
        <w:tc>
          <w:tcPr>
            <w:tcW w:w="1188" w:type="dxa"/>
            <w:vAlign w:val="center"/>
          </w:tcPr>
          <w:p>
            <w:pPr>
              <w:widowControl/>
              <w:spacing w:line="324" w:lineRule="auto"/>
              <w:jc w:val="center"/>
              <w:rPr>
                <w:rFonts w:ascii="宋体" w:hAnsi="宋体" w:cs="宋体"/>
                <w:b/>
                <w:color w:val="000000"/>
                <w:kern w:val="0"/>
                <w:sz w:val="24"/>
              </w:rPr>
            </w:pPr>
            <w:r>
              <w:rPr>
                <w:rFonts w:hint="eastAsia" w:ascii="宋体" w:hAnsi="宋体" w:cs="宋体"/>
                <w:b/>
                <w:color w:val="000000"/>
                <w:kern w:val="0"/>
                <w:sz w:val="24"/>
              </w:rPr>
              <w:t>评分项目</w:t>
            </w:r>
          </w:p>
        </w:tc>
        <w:tc>
          <w:tcPr>
            <w:tcW w:w="720" w:type="dxa"/>
            <w:vAlign w:val="center"/>
          </w:tcPr>
          <w:p>
            <w:pPr>
              <w:widowControl/>
              <w:spacing w:line="324" w:lineRule="auto"/>
              <w:jc w:val="center"/>
              <w:rPr>
                <w:rFonts w:ascii="宋体" w:hAnsi="宋体" w:cs="宋体"/>
                <w:b/>
                <w:color w:val="000000"/>
                <w:kern w:val="0"/>
                <w:sz w:val="24"/>
              </w:rPr>
            </w:pPr>
            <w:r>
              <w:rPr>
                <w:rFonts w:hint="eastAsia" w:ascii="宋体" w:hAnsi="宋体" w:cs="宋体"/>
                <w:b/>
                <w:color w:val="000000"/>
                <w:kern w:val="0"/>
                <w:sz w:val="24"/>
              </w:rPr>
              <w:t>权重</w:t>
            </w:r>
          </w:p>
        </w:tc>
        <w:tc>
          <w:tcPr>
            <w:tcW w:w="5040" w:type="dxa"/>
            <w:vAlign w:val="center"/>
          </w:tcPr>
          <w:p>
            <w:pPr>
              <w:widowControl/>
              <w:spacing w:line="324" w:lineRule="auto"/>
              <w:jc w:val="center"/>
              <w:rPr>
                <w:rFonts w:ascii="宋体" w:hAnsi="宋体" w:cs="宋体"/>
                <w:b/>
                <w:color w:val="000000"/>
                <w:kern w:val="0"/>
                <w:sz w:val="24"/>
              </w:rPr>
            </w:pPr>
            <w:r>
              <w:rPr>
                <w:rFonts w:hint="eastAsia" w:ascii="宋体" w:hAnsi="宋体" w:cs="宋体"/>
                <w:b/>
                <w:color w:val="000000"/>
                <w:kern w:val="0"/>
                <w:sz w:val="24"/>
              </w:rPr>
              <w:t>评分内容</w:t>
            </w:r>
          </w:p>
        </w:tc>
        <w:tc>
          <w:tcPr>
            <w:tcW w:w="900" w:type="dxa"/>
            <w:vAlign w:val="center"/>
          </w:tcPr>
          <w:p>
            <w:pPr>
              <w:widowControl/>
              <w:spacing w:line="324" w:lineRule="auto"/>
              <w:jc w:val="center"/>
              <w:rPr>
                <w:rFonts w:ascii="宋体" w:hAnsi="宋体" w:cs="宋体"/>
                <w:b/>
                <w:color w:val="000000"/>
                <w:kern w:val="0"/>
                <w:sz w:val="24"/>
              </w:rPr>
            </w:pPr>
            <w:r>
              <w:rPr>
                <w:rFonts w:hint="eastAsia" w:ascii="宋体" w:hAnsi="宋体" w:cs="宋体"/>
                <w:b/>
                <w:color w:val="000000"/>
                <w:kern w:val="0"/>
                <w:sz w:val="24"/>
              </w:rPr>
              <w:t>分值</w:t>
            </w:r>
          </w:p>
        </w:tc>
        <w:tc>
          <w:tcPr>
            <w:tcW w:w="1371" w:type="dxa"/>
            <w:vAlign w:val="center"/>
          </w:tcPr>
          <w:p>
            <w:pPr>
              <w:widowControl/>
              <w:spacing w:line="324" w:lineRule="auto"/>
              <w:jc w:val="center"/>
              <w:rPr>
                <w:rFonts w:ascii="宋体" w:hAnsi="宋体" w:cs="宋体"/>
                <w:b/>
                <w:color w:val="000000"/>
                <w:kern w:val="0"/>
                <w:sz w:val="24"/>
              </w:rPr>
            </w:pPr>
            <w:r>
              <w:rPr>
                <w:rFonts w:hint="eastAsia" w:ascii="宋体" w:hAnsi="宋体" w:cs="宋体"/>
                <w:b/>
                <w:color w:val="000000"/>
                <w:kern w:val="0"/>
                <w:sz w:val="24"/>
              </w:rPr>
              <w:t>投标人得分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trPr>
        <w:tc>
          <w:tcPr>
            <w:tcW w:w="1188" w:type="dxa"/>
            <w:vMerge w:val="restart"/>
            <w:vAlign w:val="center"/>
          </w:tcPr>
          <w:p>
            <w:pPr>
              <w:widowControl/>
              <w:spacing w:line="324" w:lineRule="auto"/>
              <w:jc w:val="left"/>
              <w:rPr>
                <w:rFonts w:ascii="宋体" w:hAnsi="宋体" w:cs="宋体"/>
                <w:color w:val="000000"/>
                <w:spacing w:val="-10"/>
                <w:kern w:val="0"/>
                <w:sz w:val="24"/>
              </w:rPr>
            </w:pPr>
            <w:r>
              <w:rPr>
                <w:rFonts w:hint="eastAsia" w:ascii="宋体" w:hAnsi="宋体" w:cs="宋体"/>
                <w:color w:val="000000"/>
                <w:spacing w:val="-10"/>
                <w:kern w:val="0"/>
                <w:sz w:val="24"/>
              </w:rPr>
              <w:t>投标人的资质、规模、信誉</w:t>
            </w:r>
          </w:p>
        </w:tc>
        <w:tc>
          <w:tcPr>
            <w:tcW w:w="720" w:type="dxa"/>
            <w:vMerge w:val="restart"/>
            <w:vAlign w:val="center"/>
          </w:tcPr>
          <w:p>
            <w:pPr>
              <w:widowControl/>
              <w:spacing w:line="324" w:lineRule="auto"/>
              <w:jc w:val="center"/>
              <w:rPr>
                <w:rFonts w:ascii="宋体" w:hAnsi="宋体" w:cs="宋体"/>
                <w:color w:val="000000"/>
                <w:kern w:val="0"/>
                <w:sz w:val="24"/>
              </w:rPr>
            </w:pPr>
            <w:r>
              <w:rPr>
                <w:rFonts w:hint="eastAsia" w:ascii="宋体" w:hAnsi="宋体" w:cs="宋体"/>
                <w:color w:val="000000"/>
                <w:kern w:val="0"/>
                <w:sz w:val="24"/>
              </w:rPr>
              <w:t>40</w:t>
            </w:r>
          </w:p>
        </w:tc>
        <w:tc>
          <w:tcPr>
            <w:tcW w:w="5040" w:type="dxa"/>
            <w:vAlign w:val="center"/>
          </w:tcPr>
          <w:p>
            <w:pPr>
              <w:widowControl/>
              <w:spacing w:line="324" w:lineRule="auto"/>
              <w:jc w:val="left"/>
              <w:rPr>
                <w:rFonts w:ascii="宋体" w:hAnsi="宋体" w:cs="宋体"/>
                <w:color w:val="000000"/>
                <w:kern w:val="0"/>
                <w:sz w:val="24"/>
              </w:rPr>
            </w:pPr>
            <w:r>
              <w:rPr>
                <w:rFonts w:hint="eastAsia" w:ascii="宋体" w:hAnsi="宋体" w:cs="宋体"/>
                <w:color w:val="000000"/>
                <w:kern w:val="0"/>
                <w:sz w:val="24"/>
              </w:rPr>
              <w:t>投标人的资质高、企业认证、产品认证齐全，规模大、信誉好</w:t>
            </w:r>
          </w:p>
        </w:tc>
        <w:tc>
          <w:tcPr>
            <w:tcW w:w="900" w:type="dxa"/>
            <w:vAlign w:val="center"/>
          </w:tcPr>
          <w:p>
            <w:pPr>
              <w:widowControl/>
              <w:spacing w:line="324" w:lineRule="auto"/>
              <w:jc w:val="left"/>
              <w:rPr>
                <w:rFonts w:ascii="宋体" w:hAnsi="宋体" w:cs="宋体"/>
                <w:color w:val="000000"/>
                <w:kern w:val="0"/>
                <w:sz w:val="24"/>
              </w:rPr>
            </w:pPr>
            <w:r>
              <w:rPr>
                <w:rFonts w:hint="eastAsia" w:ascii="宋体" w:hAnsi="宋体" w:cs="宋体"/>
                <w:color w:val="000000"/>
                <w:kern w:val="0"/>
                <w:sz w:val="24"/>
              </w:rPr>
              <w:t>30-40</w:t>
            </w:r>
          </w:p>
        </w:tc>
        <w:tc>
          <w:tcPr>
            <w:tcW w:w="1371" w:type="dxa"/>
            <w:vMerge w:val="restart"/>
            <w:vAlign w:val="center"/>
          </w:tcPr>
          <w:p>
            <w:pPr>
              <w:widowControl/>
              <w:spacing w:line="324" w:lineRule="auto"/>
              <w:jc w:val="left"/>
              <w:rPr>
                <w:rFonts w:ascii="宋体" w:hAnsi="宋体"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trPr>
        <w:tc>
          <w:tcPr>
            <w:tcW w:w="1188" w:type="dxa"/>
            <w:vMerge w:val="continue"/>
            <w:vAlign w:val="center"/>
          </w:tcPr>
          <w:p>
            <w:pPr>
              <w:widowControl/>
              <w:spacing w:line="324" w:lineRule="auto"/>
              <w:jc w:val="left"/>
              <w:rPr>
                <w:rFonts w:ascii="宋体" w:hAnsi="宋体" w:cs="宋体"/>
                <w:color w:val="000000"/>
                <w:kern w:val="0"/>
                <w:sz w:val="24"/>
              </w:rPr>
            </w:pPr>
          </w:p>
        </w:tc>
        <w:tc>
          <w:tcPr>
            <w:tcW w:w="720" w:type="dxa"/>
            <w:vMerge w:val="continue"/>
            <w:vAlign w:val="center"/>
          </w:tcPr>
          <w:p>
            <w:pPr>
              <w:widowControl/>
              <w:spacing w:line="324" w:lineRule="auto"/>
              <w:jc w:val="left"/>
              <w:rPr>
                <w:rFonts w:ascii="宋体" w:hAnsi="宋体" w:cs="宋体"/>
                <w:color w:val="000000"/>
                <w:kern w:val="0"/>
                <w:sz w:val="24"/>
              </w:rPr>
            </w:pPr>
          </w:p>
        </w:tc>
        <w:tc>
          <w:tcPr>
            <w:tcW w:w="5040" w:type="dxa"/>
            <w:vAlign w:val="center"/>
          </w:tcPr>
          <w:p>
            <w:pPr>
              <w:widowControl/>
              <w:spacing w:line="324" w:lineRule="auto"/>
              <w:jc w:val="left"/>
              <w:rPr>
                <w:rFonts w:ascii="宋体" w:hAnsi="宋体" w:cs="宋体"/>
                <w:color w:val="000000"/>
                <w:kern w:val="0"/>
                <w:sz w:val="24"/>
              </w:rPr>
            </w:pPr>
            <w:r>
              <w:rPr>
                <w:rFonts w:hint="eastAsia" w:ascii="宋体" w:hAnsi="宋体" w:cs="宋体"/>
                <w:color w:val="000000"/>
                <w:kern w:val="0"/>
                <w:sz w:val="24"/>
              </w:rPr>
              <w:t>投标人的资质一般，有相应认证，规模一般、信誉较好。</w:t>
            </w:r>
          </w:p>
        </w:tc>
        <w:tc>
          <w:tcPr>
            <w:tcW w:w="900" w:type="dxa"/>
            <w:vAlign w:val="center"/>
          </w:tcPr>
          <w:p>
            <w:pPr>
              <w:widowControl/>
              <w:spacing w:line="324" w:lineRule="auto"/>
              <w:jc w:val="left"/>
              <w:rPr>
                <w:rFonts w:ascii="宋体" w:hAnsi="宋体" w:cs="宋体"/>
                <w:color w:val="000000"/>
                <w:kern w:val="0"/>
                <w:sz w:val="24"/>
              </w:rPr>
            </w:pPr>
            <w:r>
              <w:rPr>
                <w:rFonts w:hint="eastAsia" w:ascii="宋体" w:hAnsi="宋体" w:cs="宋体"/>
                <w:color w:val="000000"/>
                <w:kern w:val="0"/>
                <w:sz w:val="24"/>
              </w:rPr>
              <w:t>20-30</w:t>
            </w:r>
          </w:p>
        </w:tc>
        <w:tc>
          <w:tcPr>
            <w:tcW w:w="1371" w:type="dxa"/>
            <w:vMerge w:val="continue"/>
            <w:vAlign w:val="center"/>
          </w:tcPr>
          <w:p>
            <w:pPr>
              <w:widowControl/>
              <w:spacing w:line="324" w:lineRule="auto"/>
              <w:jc w:val="left"/>
              <w:rPr>
                <w:rFonts w:ascii="宋体" w:hAnsi="宋体"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trPr>
        <w:tc>
          <w:tcPr>
            <w:tcW w:w="1188" w:type="dxa"/>
            <w:vMerge w:val="continue"/>
            <w:vAlign w:val="center"/>
          </w:tcPr>
          <w:p>
            <w:pPr>
              <w:widowControl/>
              <w:spacing w:line="324" w:lineRule="auto"/>
              <w:jc w:val="left"/>
              <w:rPr>
                <w:rFonts w:ascii="宋体" w:hAnsi="宋体" w:cs="宋体"/>
                <w:color w:val="000000"/>
                <w:kern w:val="0"/>
                <w:sz w:val="24"/>
              </w:rPr>
            </w:pPr>
          </w:p>
        </w:tc>
        <w:tc>
          <w:tcPr>
            <w:tcW w:w="720" w:type="dxa"/>
            <w:vMerge w:val="continue"/>
            <w:vAlign w:val="center"/>
          </w:tcPr>
          <w:p>
            <w:pPr>
              <w:widowControl/>
              <w:spacing w:line="324" w:lineRule="auto"/>
              <w:jc w:val="left"/>
              <w:rPr>
                <w:rFonts w:ascii="宋体" w:hAnsi="宋体" w:cs="宋体"/>
                <w:color w:val="000000"/>
                <w:kern w:val="0"/>
                <w:sz w:val="24"/>
              </w:rPr>
            </w:pPr>
          </w:p>
        </w:tc>
        <w:tc>
          <w:tcPr>
            <w:tcW w:w="5040" w:type="dxa"/>
            <w:vAlign w:val="center"/>
          </w:tcPr>
          <w:p>
            <w:pPr>
              <w:widowControl/>
              <w:spacing w:line="324" w:lineRule="auto"/>
              <w:jc w:val="left"/>
              <w:rPr>
                <w:rFonts w:ascii="宋体" w:hAnsi="宋体" w:cs="宋体"/>
                <w:color w:val="000000"/>
                <w:kern w:val="0"/>
                <w:sz w:val="24"/>
              </w:rPr>
            </w:pPr>
            <w:r>
              <w:rPr>
                <w:rFonts w:hint="eastAsia" w:ascii="宋体" w:hAnsi="宋体" w:cs="宋体"/>
                <w:color w:val="000000"/>
                <w:kern w:val="0"/>
                <w:sz w:val="24"/>
              </w:rPr>
              <w:t>投标人的资质一般，有相应认证，规模较小、信誉一般。</w:t>
            </w:r>
          </w:p>
        </w:tc>
        <w:tc>
          <w:tcPr>
            <w:tcW w:w="900" w:type="dxa"/>
            <w:vAlign w:val="center"/>
          </w:tcPr>
          <w:p>
            <w:pPr>
              <w:widowControl/>
              <w:spacing w:line="324" w:lineRule="auto"/>
              <w:jc w:val="left"/>
              <w:rPr>
                <w:rFonts w:ascii="宋体" w:hAnsi="宋体" w:cs="宋体"/>
                <w:color w:val="000000"/>
                <w:kern w:val="0"/>
                <w:sz w:val="24"/>
              </w:rPr>
            </w:pPr>
            <w:r>
              <w:rPr>
                <w:rFonts w:hint="eastAsia" w:ascii="宋体" w:hAnsi="宋体" w:cs="宋体"/>
                <w:color w:val="000000"/>
                <w:kern w:val="0"/>
                <w:sz w:val="24"/>
              </w:rPr>
              <w:t>10-20</w:t>
            </w:r>
          </w:p>
        </w:tc>
        <w:tc>
          <w:tcPr>
            <w:tcW w:w="1371" w:type="dxa"/>
            <w:vMerge w:val="continue"/>
            <w:vAlign w:val="center"/>
          </w:tcPr>
          <w:p>
            <w:pPr>
              <w:widowControl/>
              <w:spacing w:line="324" w:lineRule="auto"/>
              <w:jc w:val="left"/>
              <w:rPr>
                <w:rFonts w:ascii="宋体" w:hAnsi="宋体"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trPr>
        <w:tc>
          <w:tcPr>
            <w:tcW w:w="1188" w:type="dxa"/>
            <w:vMerge w:val="restart"/>
            <w:vAlign w:val="center"/>
          </w:tcPr>
          <w:p>
            <w:pPr>
              <w:widowControl/>
              <w:spacing w:line="324" w:lineRule="auto"/>
              <w:jc w:val="left"/>
              <w:rPr>
                <w:rFonts w:ascii="宋体" w:hAnsi="宋体" w:cs="宋体"/>
                <w:color w:val="000000"/>
                <w:kern w:val="0"/>
                <w:sz w:val="24"/>
              </w:rPr>
            </w:pPr>
            <w:r>
              <w:rPr>
                <w:rFonts w:hint="eastAsia" w:ascii="宋体" w:hAnsi="宋体" w:cs="宋体"/>
                <w:color w:val="000000"/>
                <w:kern w:val="0"/>
                <w:sz w:val="24"/>
              </w:rPr>
              <w:t>经营业绩</w:t>
            </w:r>
          </w:p>
        </w:tc>
        <w:tc>
          <w:tcPr>
            <w:tcW w:w="720" w:type="dxa"/>
            <w:vMerge w:val="restart"/>
            <w:vAlign w:val="center"/>
          </w:tcPr>
          <w:p>
            <w:pPr>
              <w:widowControl/>
              <w:spacing w:line="324" w:lineRule="auto"/>
              <w:jc w:val="center"/>
              <w:rPr>
                <w:rFonts w:ascii="宋体" w:hAnsi="宋体" w:cs="宋体"/>
                <w:color w:val="000000"/>
                <w:kern w:val="0"/>
                <w:sz w:val="24"/>
              </w:rPr>
            </w:pPr>
            <w:r>
              <w:rPr>
                <w:rFonts w:hint="eastAsia" w:ascii="宋体" w:hAnsi="宋体" w:cs="宋体"/>
                <w:color w:val="000000"/>
                <w:kern w:val="0"/>
                <w:sz w:val="24"/>
              </w:rPr>
              <w:t>30</w:t>
            </w:r>
          </w:p>
        </w:tc>
        <w:tc>
          <w:tcPr>
            <w:tcW w:w="5040" w:type="dxa"/>
            <w:vAlign w:val="center"/>
          </w:tcPr>
          <w:p>
            <w:pPr>
              <w:widowControl/>
              <w:spacing w:line="324" w:lineRule="auto"/>
              <w:jc w:val="left"/>
              <w:rPr>
                <w:rFonts w:ascii="宋体" w:hAnsi="宋体" w:cs="宋体"/>
                <w:color w:val="000000"/>
                <w:kern w:val="0"/>
                <w:sz w:val="24"/>
              </w:rPr>
            </w:pPr>
            <w:r>
              <w:rPr>
                <w:rFonts w:hint="eastAsia" w:ascii="宋体" w:hAnsi="宋体" w:cs="宋体"/>
                <w:color w:val="000000"/>
                <w:kern w:val="0"/>
                <w:sz w:val="24"/>
              </w:rPr>
              <w:t>业绩优良，提供同类业绩的复印件（合同或发货单）（单项金额需在：学生大米20万公斤以上、优质米1.5万公斤以上、食用油5万公斤以上、高筋面粉1万公斤以上、低筋面粉1.5万公斤以上，每一项合同或发货单加1分，最高不超过30分）</w:t>
            </w:r>
          </w:p>
        </w:tc>
        <w:tc>
          <w:tcPr>
            <w:tcW w:w="900" w:type="dxa"/>
            <w:vAlign w:val="center"/>
          </w:tcPr>
          <w:p>
            <w:pPr>
              <w:widowControl/>
              <w:spacing w:line="324" w:lineRule="auto"/>
              <w:jc w:val="left"/>
              <w:rPr>
                <w:rFonts w:ascii="宋体" w:hAnsi="宋体" w:cs="宋体"/>
                <w:color w:val="000000"/>
                <w:kern w:val="0"/>
                <w:sz w:val="24"/>
              </w:rPr>
            </w:pPr>
            <w:r>
              <w:rPr>
                <w:rFonts w:hint="eastAsia" w:ascii="宋体" w:hAnsi="宋体" w:cs="宋体"/>
                <w:color w:val="000000"/>
                <w:kern w:val="0"/>
                <w:sz w:val="24"/>
              </w:rPr>
              <w:t>20-30</w:t>
            </w:r>
          </w:p>
        </w:tc>
        <w:tc>
          <w:tcPr>
            <w:tcW w:w="1371" w:type="dxa"/>
            <w:vMerge w:val="restart"/>
            <w:vAlign w:val="center"/>
          </w:tcPr>
          <w:p>
            <w:pPr>
              <w:widowControl/>
              <w:spacing w:line="324" w:lineRule="auto"/>
              <w:jc w:val="left"/>
              <w:rPr>
                <w:rFonts w:ascii="宋体" w:hAnsi="宋体"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trPr>
        <w:tc>
          <w:tcPr>
            <w:tcW w:w="1188" w:type="dxa"/>
            <w:vMerge w:val="continue"/>
            <w:vAlign w:val="center"/>
          </w:tcPr>
          <w:p>
            <w:pPr>
              <w:widowControl/>
              <w:spacing w:line="324" w:lineRule="auto"/>
              <w:jc w:val="left"/>
              <w:rPr>
                <w:rFonts w:ascii="宋体" w:hAnsi="宋体" w:cs="宋体"/>
                <w:color w:val="000000"/>
                <w:kern w:val="0"/>
                <w:sz w:val="24"/>
              </w:rPr>
            </w:pPr>
          </w:p>
        </w:tc>
        <w:tc>
          <w:tcPr>
            <w:tcW w:w="720" w:type="dxa"/>
            <w:vMerge w:val="continue"/>
            <w:vAlign w:val="center"/>
          </w:tcPr>
          <w:p>
            <w:pPr>
              <w:widowControl/>
              <w:spacing w:line="324" w:lineRule="auto"/>
              <w:jc w:val="left"/>
              <w:rPr>
                <w:rFonts w:ascii="宋体" w:hAnsi="宋体" w:cs="宋体"/>
                <w:color w:val="000000"/>
                <w:kern w:val="0"/>
                <w:sz w:val="24"/>
              </w:rPr>
            </w:pPr>
          </w:p>
        </w:tc>
        <w:tc>
          <w:tcPr>
            <w:tcW w:w="5040" w:type="dxa"/>
            <w:vAlign w:val="center"/>
          </w:tcPr>
          <w:p>
            <w:pPr>
              <w:widowControl/>
              <w:spacing w:line="324" w:lineRule="auto"/>
              <w:jc w:val="left"/>
              <w:rPr>
                <w:rFonts w:ascii="宋体" w:hAnsi="宋体" w:cs="宋体"/>
                <w:color w:val="000000"/>
                <w:kern w:val="0"/>
                <w:sz w:val="24"/>
              </w:rPr>
            </w:pPr>
            <w:r>
              <w:rPr>
                <w:rFonts w:hint="eastAsia" w:ascii="宋体" w:hAnsi="宋体" w:cs="宋体"/>
                <w:color w:val="000000"/>
                <w:kern w:val="0"/>
                <w:sz w:val="24"/>
              </w:rPr>
              <w:t>业绩一般，提供同类业绩的复印件（合同或发货单）（单项金额需在：学生大米20万公斤以下优质米1.5万公斤以下、食用油5万公斤以下、高筋面粉1万公斤以下、低筋面粉1.5万公斤以下，每一项合同或发货单加1分，最高不超过20分）</w:t>
            </w:r>
          </w:p>
        </w:tc>
        <w:tc>
          <w:tcPr>
            <w:tcW w:w="900" w:type="dxa"/>
            <w:vAlign w:val="center"/>
          </w:tcPr>
          <w:p>
            <w:pPr>
              <w:widowControl/>
              <w:spacing w:line="324" w:lineRule="auto"/>
              <w:jc w:val="left"/>
              <w:rPr>
                <w:rFonts w:ascii="宋体" w:hAnsi="宋体" w:cs="宋体"/>
                <w:color w:val="000000"/>
                <w:kern w:val="0"/>
                <w:sz w:val="24"/>
              </w:rPr>
            </w:pPr>
            <w:r>
              <w:rPr>
                <w:rFonts w:hint="eastAsia" w:ascii="宋体" w:hAnsi="宋体" w:cs="宋体"/>
                <w:color w:val="000000"/>
                <w:kern w:val="0"/>
                <w:sz w:val="24"/>
              </w:rPr>
              <w:t>0-20</w:t>
            </w:r>
          </w:p>
        </w:tc>
        <w:tc>
          <w:tcPr>
            <w:tcW w:w="1371" w:type="dxa"/>
            <w:vMerge w:val="continue"/>
            <w:vAlign w:val="center"/>
          </w:tcPr>
          <w:p>
            <w:pPr>
              <w:widowControl/>
              <w:spacing w:line="324" w:lineRule="auto"/>
              <w:jc w:val="left"/>
              <w:rPr>
                <w:rFonts w:ascii="宋体" w:hAnsi="宋体"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trPr>
        <w:tc>
          <w:tcPr>
            <w:tcW w:w="1188" w:type="dxa"/>
            <w:vMerge w:val="continue"/>
            <w:vAlign w:val="center"/>
          </w:tcPr>
          <w:p>
            <w:pPr>
              <w:widowControl/>
              <w:spacing w:line="324" w:lineRule="auto"/>
              <w:jc w:val="left"/>
              <w:rPr>
                <w:rFonts w:ascii="宋体" w:hAnsi="宋体" w:cs="宋体"/>
                <w:color w:val="000000"/>
                <w:kern w:val="0"/>
                <w:sz w:val="24"/>
              </w:rPr>
            </w:pPr>
          </w:p>
        </w:tc>
        <w:tc>
          <w:tcPr>
            <w:tcW w:w="720" w:type="dxa"/>
            <w:vMerge w:val="continue"/>
            <w:vAlign w:val="center"/>
          </w:tcPr>
          <w:p>
            <w:pPr>
              <w:widowControl/>
              <w:spacing w:line="324" w:lineRule="auto"/>
              <w:jc w:val="left"/>
              <w:rPr>
                <w:rFonts w:ascii="宋体" w:hAnsi="宋体" w:cs="宋体"/>
                <w:color w:val="000000"/>
                <w:kern w:val="0"/>
                <w:sz w:val="24"/>
              </w:rPr>
            </w:pPr>
          </w:p>
        </w:tc>
        <w:tc>
          <w:tcPr>
            <w:tcW w:w="5040" w:type="dxa"/>
            <w:vAlign w:val="center"/>
          </w:tcPr>
          <w:p>
            <w:pPr>
              <w:widowControl/>
              <w:spacing w:line="324" w:lineRule="auto"/>
              <w:jc w:val="left"/>
              <w:rPr>
                <w:rFonts w:ascii="宋体" w:hAnsi="宋体" w:cs="宋体"/>
                <w:color w:val="000000"/>
                <w:kern w:val="0"/>
                <w:sz w:val="24"/>
              </w:rPr>
            </w:pPr>
            <w:r>
              <w:rPr>
                <w:rFonts w:hint="eastAsia" w:ascii="宋体" w:hAnsi="宋体" w:cs="宋体"/>
                <w:color w:val="000000"/>
                <w:kern w:val="0"/>
                <w:sz w:val="24"/>
              </w:rPr>
              <w:t>无以上业绩材料</w:t>
            </w:r>
          </w:p>
        </w:tc>
        <w:tc>
          <w:tcPr>
            <w:tcW w:w="900" w:type="dxa"/>
            <w:vAlign w:val="center"/>
          </w:tcPr>
          <w:p>
            <w:pPr>
              <w:widowControl/>
              <w:spacing w:line="324" w:lineRule="auto"/>
              <w:jc w:val="left"/>
              <w:rPr>
                <w:rFonts w:ascii="宋体" w:hAnsi="宋体" w:cs="宋体"/>
                <w:color w:val="000000"/>
                <w:kern w:val="0"/>
                <w:sz w:val="24"/>
              </w:rPr>
            </w:pPr>
            <w:r>
              <w:rPr>
                <w:rFonts w:hint="eastAsia" w:ascii="宋体" w:hAnsi="宋体" w:cs="宋体"/>
                <w:color w:val="000000"/>
                <w:kern w:val="0"/>
                <w:sz w:val="24"/>
              </w:rPr>
              <w:t>0</w:t>
            </w:r>
          </w:p>
        </w:tc>
        <w:tc>
          <w:tcPr>
            <w:tcW w:w="1371" w:type="dxa"/>
            <w:vMerge w:val="continue"/>
            <w:vAlign w:val="center"/>
          </w:tcPr>
          <w:p>
            <w:pPr>
              <w:widowControl/>
              <w:spacing w:line="324" w:lineRule="auto"/>
              <w:jc w:val="left"/>
              <w:rPr>
                <w:rFonts w:ascii="宋体" w:hAnsi="宋体"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trPr>
        <w:tc>
          <w:tcPr>
            <w:tcW w:w="1188" w:type="dxa"/>
            <w:vMerge w:val="restart"/>
            <w:vAlign w:val="center"/>
          </w:tcPr>
          <w:p>
            <w:pPr>
              <w:widowControl/>
              <w:spacing w:line="324" w:lineRule="auto"/>
              <w:jc w:val="left"/>
              <w:rPr>
                <w:rFonts w:ascii="宋体" w:hAnsi="宋体" w:cs="宋体"/>
                <w:color w:val="000000"/>
                <w:kern w:val="0"/>
                <w:sz w:val="24"/>
              </w:rPr>
            </w:pPr>
            <w:r>
              <w:rPr>
                <w:rFonts w:hint="eastAsia" w:ascii="宋体" w:hAnsi="宋体" w:cs="宋体"/>
                <w:color w:val="000000"/>
                <w:kern w:val="0"/>
                <w:sz w:val="24"/>
              </w:rPr>
              <w:t>售后服务</w:t>
            </w:r>
          </w:p>
        </w:tc>
        <w:tc>
          <w:tcPr>
            <w:tcW w:w="720" w:type="dxa"/>
            <w:vMerge w:val="restart"/>
            <w:vAlign w:val="center"/>
          </w:tcPr>
          <w:p>
            <w:pPr>
              <w:widowControl/>
              <w:spacing w:line="324" w:lineRule="auto"/>
              <w:jc w:val="center"/>
              <w:rPr>
                <w:rFonts w:ascii="宋体" w:hAnsi="宋体" w:cs="宋体"/>
                <w:color w:val="000000"/>
                <w:kern w:val="0"/>
                <w:sz w:val="24"/>
              </w:rPr>
            </w:pPr>
            <w:r>
              <w:rPr>
                <w:rFonts w:hint="eastAsia" w:ascii="宋体" w:hAnsi="宋体" w:cs="宋体"/>
                <w:color w:val="000000"/>
                <w:kern w:val="0"/>
                <w:sz w:val="24"/>
              </w:rPr>
              <w:t>30</w:t>
            </w:r>
          </w:p>
        </w:tc>
        <w:tc>
          <w:tcPr>
            <w:tcW w:w="5040" w:type="dxa"/>
            <w:vAlign w:val="center"/>
          </w:tcPr>
          <w:p>
            <w:pPr>
              <w:widowControl/>
              <w:spacing w:line="324" w:lineRule="auto"/>
              <w:jc w:val="left"/>
              <w:rPr>
                <w:rFonts w:ascii="宋体" w:hAnsi="宋体" w:cs="宋体"/>
                <w:color w:val="000000"/>
                <w:kern w:val="0"/>
                <w:sz w:val="24"/>
              </w:rPr>
            </w:pPr>
            <w:r>
              <w:rPr>
                <w:rFonts w:hint="eastAsia" w:ascii="宋体" w:hAnsi="宋体" w:cs="宋体"/>
                <w:color w:val="000000"/>
                <w:kern w:val="0"/>
                <w:sz w:val="24"/>
              </w:rPr>
              <w:t>售后服务计划详细，并优于谈判文件要求</w:t>
            </w:r>
          </w:p>
        </w:tc>
        <w:tc>
          <w:tcPr>
            <w:tcW w:w="900" w:type="dxa"/>
            <w:vAlign w:val="center"/>
          </w:tcPr>
          <w:p>
            <w:pPr>
              <w:widowControl/>
              <w:spacing w:line="324" w:lineRule="auto"/>
              <w:jc w:val="left"/>
              <w:rPr>
                <w:rFonts w:ascii="宋体" w:hAnsi="宋体" w:cs="宋体"/>
                <w:color w:val="000000"/>
                <w:kern w:val="0"/>
                <w:sz w:val="24"/>
              </w:rPr>
            </w:pPr>
            <w:r>
              <w:rPr>
                <w:rFonts w:hint="eastAsia" w:ascii="宋体" w:hAnsi="宋体" w:cs="宋体"/>
                <w:color w:val="000000"/>
                <w:kern w:val="0"/>
                <w:sz w:val="24"/>
              </w:rPr>
              <w:t>20-30</w:t>
            </w:r>
          </w:p>
        </w:tc>
        <w:tc>
          <w:tcPr>
            <w:tcW w:w="1371" w:type="dxa"/>
            <w:vMerge w:val="restart"/>
            <w:vAlign w:val="center"/>
          </w:tcPr>
          <w:p>
            <w:pPr>
              <w:widowControl/>
              <w:spacing w:line="324" w:lineRule="auto"/>
              <w:jc w:val="left"/>
              <w:rPr>
                <w:rFonts w:ascii="宋体" w:hAnsi="宋体"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trPr>
        <w:tc>
          <w:tcPr>
            <w:tcW w:w="1188" w:type="dxa"/>
            <w:vMerge w:val="continue"/>
            <w:vAlign w:val="center"/>
          </w:tcPr>
          <w:p>
            <w:pPr>
              <w:widowControl/>
              <w:spacing w:line="324" w:lineRule="auto"/>
              <w:jc w:val="left"/>
              <w:rPr>
                <w:rFonts w:ascii="宋体" w:hAnsi="宋体" w:cs="宋体"/>
                <w:color w:val="000000"/>
                <w:kern w:val="0"/>
                <w:sz w:val="24"/>
              </w:rPr>
            </w:pPr>
          </w:p>
        </w:tc>
        <w:tc>
          <w:tcPr>
            <w:tcW w:w="720" w:type="dxa"/>
            <w:vMerge w:val="continue"/>
            <w:vAlign w:val="center"/>
          </w:tcPr>
          <w:p>
            <w:pPr>
              <w:widowControl/>
              <w:spacing w:line="324" w:lineRule="auto"/>
              <w:jc w:val="left"/>
              <w:rPr>
                <w:rFonts w:ascii="宋体" w:hAnsi="宋体" w:cs="宋体"/>
                <w:color w:val="000000"/>
                <w:kern w:val="0"/>
                <w:sz w:val="24"/>
              </w:rPr>
            </w:pPr>
          </w:p>
        </w:tc>
        <w:tc>
          <w:tcPr>
            <w:tcW w:w="5040" w:type="dxa"/>
            <w:vAlign w:val="center"/>
          </w:tcPr>
          <w:p>
            <w:pPr>
              <w:widowControl/>
              <w:spacing w:line="324" w:lineRule="auto"/>
              <w:jc w:val="left"/>
              <w:rPr>
                <w:rFonts w:ascii="宋体" w:hAnsi="宋体" w:cs="宋体"/>
                <w:color w:val="000000"/>
                <w:kern w:val="0"/>
                <w:sz w:val="24"/>
              </w:rPr>
            </w:pPr>
            <w:r>
              <w:rPr>
                <w:rFonts w:hint="eastAsia" w:ascii="宋体" w:hAnsi="宋体" w:cs="宋体"/>
                <w:color w:val="000000"/>
                <w:kern w:val="0"/>
                <w:sz w:val="24"/>
              </w:rPr>
              <w:t>售后服务计划一般，满足谈判文件要求</w:t>
            </w:r>
          </w:p>
        </w:tc>
        <w:tc>
          <w:tcPr>
            <w:tcW w:w="900" w:type="dxa"/>
            <w:vAlign w:val="center"/>
          </w:tcPr>
          <w:p>
            <w:pPr>
              <w:widowControl/>
              <w:spacing w:line="324" w:lineRule="auto"/>
              <w:jc w:val="left"/>
              <w:rPr>
                <w:rFonts w:ascii="宋体" w:hAnsi="宋体" w:cs="宋体"/>
                <w:color w:val="000000"/>
                <w:kern w:val="0"/>
                <w:sz w:val="24"/>
              </w:rPr>
            </w:pPr>
            <w:r>
              <w:rPr>
                <w:rFonts w:hint="eastAsia" w:ascii="宋体" w:hAnsi="宋体" w:cs="宋体"/>
                <w:color w:val="000000"/>
                <w:kern w:val="0"/>
                <w:sz w:val="24"/>
              </w:rPr>
              <w:t>10-20</w:t>
            </w:r>
          </w:p>
        </w:tc>
        <w:tc>
          <w:tcPr>
            <w:tcW w:w="1371" w:type="dxa"/>
            <w:vMerge w:val="continue"/>
            <w:vAlign w:val="center"/>
          </w:tcPr>
          <w:p>
            <w:pPr>
              <w:widowControl/>
              <w:spacing w:line="324" w:lineRule="auto"/>
              <w:jc w:val="left"/>
              <w:rPr>
                <w:rFonts w:ascii="宋体" w:hAnsi="宋体"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trPr>
        <w:tc>
          <w:tcPr>
            <w:tcW w:w="1188" w:type="dxa"/>
            <w:vMerge w:val="continue"/>
            <w:vAlign w:val="center"/>
          </w:tcPr>
          <w:p>
            <w:pPr>
              <w:widowControl/>
              <w:spacing w:line="324" w:lineRule="auto"/>
              <w:jc w:val="left"/>
              <w:rPr>
                <w:rFonts w:ascii="宋体" w:hAnsi="宋体" w:cs="宋体"/>
                <w:color w:val="000000"/>
                <w:kern w:val="0"/>
                <w:sz w:val="24"/>
              </w:rPr>
            </w:pPr>
          </w:p>
        </w:tc>
        <w:tc>
          <w:tcPr>
            <w:tcW w:w="720" w:type="dxa"/>
            <w:vMerge w:val="continue"/>
            <w:vAlign w:val="center"/>
          </w:tcPr>
          <w:p>
            <w:pPr>
              <w:widowControl/>
              <w:spacing w:line="324" w:lineRule="auto"/>
              <w:jc w:val="left"/>
              <w:rPr>
                <w:rFonts w:ascii="宋体" w:hAnsi="宋体" w:cs="宋体"/>
                <w:color w:val="000000"/>
                <w:kern w:val="0"/>
                <w:sz w:val="24"/>
              </w:rPr>
            </w:pPr>
          </w:p>
        </w:tc>
        <w:tc>
          <w:tcPr>
            <w:tcW w:w="5040" w:type="dxa"/>
            <w:vAlign w:val="center"/>
          </w:tcPr>
          <w:p>
            <w:pPr>
              <w:widowControl/>
              <w:spacing w:line="324" w:lineRule="auto"/>
              <w:jc w:val="left"/>
              <w:rPr>
                <w:rFonts w:ascii="宋体" w:hAnsi="宋体" w:cs="宋体"/>
                <w:color w:val="000000"/>
                <w:kern w:val="0"/>
                <w:sz w:val="24"/>
              </w:rPr>
            </w:pPr>
            <w:r>
              <w:rPr>
                <w:rFonts w:hint="eastAsia" w:ascii="宋体" w:hAnsi="宋体" w:cs="宋体"/>
                <w:color w:val="000000"/>
                <w:kern w:val="0"/>
                <w:sz w:val="24"/>
              </w:rPr>
              <w:t>售后服务计划较差，低于谈判文件要求</w:t>
            </w:r>
          </w:p>
        </w:tc>
        <w:tc>
          <w:tcPr>
            <w:tcW w:w="900" w:type="dxa"/>
            <w:vAlign w:val="center"/>
          </w:tcPr>
          <w:p>
            <w:pPr>
              <w:widowControl/>
              <w:spacing w:line="324" w:lineRule="auto"/>
              <w:jc w:val="left"/>
              <w:rPr>
                <w:rFonts w:ascii="宋体" w:hAnsi="宋体" w:cs="宋体"/>
                <w:color w:val="000000"/>
                <w:kern w:val="0"/>
                <w:sz w:val="24"/>
              </w:rPr>
            </w:pPr>
            <w:r>
              <w:rPr>
                <w:rFonts w:hint="eastAsia" w:ascii="宋体" w:hAnsi="宋体" w:cs="宋体"/>
                <w:color w:val="000000"/>
                <w:kern w:val="0"/>
                <w:sz w:val="24"/>
              </w:rPr>
              <w:t>0-10</w:t>
            </w:r>
          </w:p>
        </w:tc>
        <w:tc>
          <w:tcPr>
            <w:tcW w:w="1371" w:type="dxa"/>
            <w:vMerge w:val="continue"/>
            <w:vAlign w:val="center"/>
          </w:tcPr>
          <w:p>
            <w:pPr>
              <w:widowControl/>
              <w:spacing w:line="324" w:lineRule="auto"/>
              <w:jc w:val="left"/>
              <w:rPr>
                <w:rFonts w:ascii="宋体" w:hAnsi="宋体"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trPr>
        <w:tc>
          <w:tcPr>
            <w:tcW w:w="1188" w:type="dxa"/>
            <w:vAlign w:val="center"/>
          </w:tcPr>
          <w:p>
            <w:pPr>
              <w:widowControl/>
              <w:spacing w:line="324" w:lineRule="auto"/>
              <w:jc w:val="left"/>
              <w:rPr>
                <w:rFonts w:ascii="宋体" w:hAnsi="宋体" w:cs="宋体"/>
                <w:color w:val="000000"/>
                <w:kern w:val="0"/>
                <w:sz w:val="24"/>
              </w:rPr>
            </w:pPr>
            <w:r>
              <w:rPr>
                <w:rFonts w:hint="eastAsia" w:ascii="宋体" w:hAnsi="宋体" w:cs="宋体"/>
                <w:color w:val="000000"/>
                <w:kern w:val="0"/>
                <w:sz w:val="24"/>
              </w:rPr>
              <w:t>合计</w:t>
            </w:r>
          </w:p>
        </w:tc>
        <w:tc>
          <w:tcPr>
            <w:tcW w:w="720" w:type="dxa"/>
            <w:vAlign w:val="center"/>
          </w:tcPr>
          <w:p>
            <w:pPr>
              <w:widowControl/>
              <w:spacing w:line="324" w:lineRule="auto"/>
              <w:jc w:val="center"/>
              <w:rPr>
                <w:rFonts w:ascii="宋体" w:hAnsi="宋体" w:cs="宋体"/>
                <w:color w:val="000000"/>
                <w:kern w:val="0"/>
                <w:sz w:val="24"/>
              </w:rPr>
            </w:pPr>
            <w:r>
              <w:rPr>
                <w:rFonts w:hint="eastAsia" w:ascii="宋体" w:hAnsi="宋体" w:cs="宋体"/>
                <w:color w:val="000000"/>
                <w:kern w:val="0"/>
                <w:sz w:val="24"/>
              </w:rPr>
              <w:t>100</w:t>
            </w:r>
          </w:p>
        </w:tc>
        <w:tc>
          <w:tcPr>
            <w:tcW w:w="5040" w:type="dxa"/>
            <w:vAlign w:val="center"/>
          </w:tcPr>
          <w:p>
            <w:pPr>
              <w:widowControl/>
              <w:spacing w:line="324" w:lineRule="auto"/>
              <w:jc w:val="left"/>
              <w:rPr>
                <w:rFonts w:ascii="宋体" w:hAnsi="宋体" w:cs="宋体"/>
                <w:color w:val="000000"/>
                <w:kern w:val="0"/>
                <w:sz w:val="24"/>
              </w:rPr>
            </w:pPr>
          </w:p>
        </w:tc>
        <w:tc>
          <w:tcPr>
            <w:tcW w:w="900" w:type="dxa"/>
            <w:vAlign w:val="center"/>
          </w:tcPr>
          <w:p>
            <w:pPr>
              <w:widowControl/>
              <w:spacing w:line="324" w:lineRule="auto"/>
              <w:jc w:val="left"/>
              <w:rPr>
                <w:rFonts w:ascii="宋体" w:hAnsi="宋体" w:cs="宋体"/>
                <w:color w:val="000000"/>
                <w:kern w:val="0"/>
                <w:sz w:val="24"/>
              </w:rPr>
            </w:pPr>
          </w:p>
        </w:tc>
        <w:tc>
          <w:tcPr>
            <w:tcW w:w="1371" w:type="dxa"/>
            <w:vAlign w:val="center"/>
          </w:tcPr>
          <w:p>
            <w:pPr>
              <w:widowControl/>
              <w:spacing w:line="324" w:lineRule="auto"/>
              <w:jc w:val="left"/>
              <w:rPr>
                <w:rFonts w:ascii="宋体" w:hAnsi="宋体" w:cs="宋体"/>
                <w:color w:val="000000"/>
                <w:kern w:val="0"/>
                <w:sz w:val="24"/>
              </w:rPr>
            </w:pPr>
          </w:p>
        </w:tc>
      </w:tr>
    </w:tbl>
    <w:p>
      <w:pPr>
        <w:pStyle w:val="2"/>
        <w:adjustRightInd w:val="0"/>
        <w:snapToGrid w:val="0"/>
        <w:spacing w:line="360" w:lineRule="auto"/>
        <w:ind w:left="2"/>
        <w:rPr>
          <w:rFonts w:hAnsi="宋体" w:cs="宋体"/>
          <w:color w:val="000000"/>
          <w:sz w:val="24"/>
          <w:szCs w:val="24"/>
        </w:rPr>
      </w:pPr>
      <w:r>
        <w:rPr>
          <w:rFonts w:hint="eastAsia" w:hAnsi="宋体"/>
          <w:lang w:val="en-US" w:eastAsia="zh-CN"/>
        </w:rPr>
        <w:t xml:space="preserve">  </w:t>
      </w:r>
      <w:r>
        <w:rPr>
          <w:rFonts w:hint="eastAsia" w:hAnsi="宋体"/>
          <w:sz w:val="24"/>
          <w:szCs w:val="24"/>
        </w:rPr>
        <w:t>（</w:t>
      </w:r>
      <w:r>
        <w:rPr>
          <w:rFonts w:hint="eastAsia" w:hAnsi="宋体" w:cs="宋体"/>
          <w:color w:val="000000"/>
          <w:sz w:val="24"/>
          <w:szCs w:val="24"/>
        </w:rPr>
        <w:t>2）评标总得分及统计：将各评委评分</w:t>
      </w:r>
      <w:r>
        <w:rPr>
          <w:rFonts w:hint="eastAsia" w:hAnsi="宋体" w:cs="宋体"/>
          <w:color w:val="000000"/>
          <w:sz w:val="24"/>
        </w:rPr>
        <w:t>相加</w:t>
      </w:r>
      <w:r>
        <w:rPr>
          <w:rFonts w:hint="eastAsia" w:hAnsi="宋体" w:cs="宋体"/>
          <w:color w:val="000000"/>
          <w:sz w:val="24"/>
          <w:szCs w:val="24"/>
        </w:rPr>
        <w:t>的算术平均值即为该投标供应商的技术评分和商务评分总分。</w:t>
      </w:r>
    </w:p>
    <w:p>
      <w:pPr>
        <w:spacing w:line="360" w:lineRule="auto"/>
        <w:rPr>
          <w:rFonts w:ascii="宋体" w:hAnsi="宋体"/>
          <w:bCs/>
          <w:color w:val="0000FF"/>
          <w:sz w:val="24"/>
        </w:rPr>
      </w:pPr>
      <w:r>
        <w:rPr>
          <w:rFonts w:hint="eastAsia" w:ascii="宋体" w:hAnsi="宋体"/>
          <w:bCs/>
          <w:color w:val="0000FF"/>
          <w:sz w:val="24"/>
        </w:rPr>
        <w:t xml:space="preserve">  （3）按得分多少从高到底为序向采购人推荐协议供货商。（每个子包推荐等分前三名协议供应商）</w:t>
      </w:r>
    </w:p>
    <w:p>
      <w:pPr>
        <w:rPr>
          <w:rFonts w:ascii="宋体" w:hAnsi="宋体"/>
          <w:b/>
          <w:sz w:val="32"/>
          <w:szCs w:val="32"/>
        </w:rPr>
      </w:pPr>
    </w:p>
    <w:p>
      <w:pPr>
        <w:jc w:val="center"/>
        <w:rPr>
          <w:rFonts w:ascii="宋体" w:hAnsi="宋体"/>
          <w:b/>
          <w:sz w:val="32"/>
          <w:szCs w:val="32"/>
        </w:rPr>
      </w:pPr>
      <w:r>
        <w:rPr>
          <w:rFonts w:hint="eastAsia" w:ascii="宋体" w:hAnsi="宋体"/>
          <w:b/>
          <w:sz w:val="32"/>
          <w:szCs w:val="32"/>
        </w:rPr>
        <w:t>第三部分 参考合同格式</w:t>
      </w:r>
    </w:p>
    <w:p>
      <w:pPr>
        <w:jc w:val="center"/>
        <w:rPr>
          <w:b/>
          <w:bCs/>
          <w:sz w:val="48"/>
        </w:rPr>
      </w:pPr>
      <w:r>
        <w:rPr>
          <w:rFonts w:hint="eastAsia" w:ascii="宋体" w:hAnsi="宋体"/>
          <w:b/>
          <w:sz w:val="32"/>
          <w:szCs w:val="32"/>
        </w:rPr>
        <w:t>协议供货合同（参考样本）</w:t>
      </w:r>
    </w:p>
    <w:p>
      <w:pPr>
        <w:rPr>
          <w:sz w:val="24"/>
          <w:szCs w:val="24"/>
        </w:rPr>
      </w:pPr>
      <w:r>
        <w:rPr>
          <w:rFonts w:hint="eastAsia"/>
          <w:sz w:val="24"/>
          <w:szCs w:val="24"/>
        </w:rPr>
        <w:t>需方（甲）            合同编号</w:t>
      </w:r>
    </w:p>
    <w:p>
      <w:pPr>
        <w:rPr>
          <w:sz w:val="24"/>
          <w:szCs w:val="24"/>
        </w:rPr>
      </w:pPr>
      <w:r>
        <w:rPr>
          <w:rFonts w:hint="eastAsia"/>
          <w:sz w:val="24"/>
          <w:szCs w:val="24"/>
        </w:rPr>
        <w:t>供方（乙）            签订日期：    年    月    日</w:t>
      </w:r>
    </w:p>
    <w:p>
      <w:pPr>
        <w:rPr>
          <w:sz w:val="24"/>
          <w:szCs w:val="24"/>
        </w:rPr>
      </w:pPr>
    </w:p>
    <w:p>
      <w:pPr>
        <w:ind w:firstLine="570"/>
        <w:rPr>
          <w:sz w:val="24"/>
          <w:szCs w:val="24"/>
        </w:rPr>
      </w:pPr>
      <w:r>
        <w:rPr>
          <w:rFonts w:hint="eastAsia"/>
          <w:sz w:val="24"/>
          <w:szCs w:val="24"/>
        </w:rPr>
        <w:t>为了确保师生员工饮食安全，保证供应，依照《中华人民共和国合同法》及广东石油化工学院学生食堂大米、面粉及食用油采购项目（编号：MMC2016A023T）招标结果，经双方充分协商，签订本合同，并共同信守，严肃履行。</w:t>
      </w:r>
    </w:p>
    <w:p>
      <w:pPr>
        <w:numPr>
          <w:ilvl w:val="0"/>
          <w:numId w:val="4"/>
        </w:numPr>
        <w:tabs>
          <w:tab w:val="left" w:pos="1140"/>
          <w:tab w:val="clear" w:pos="1110"/>
        </w:tabs>
        <w:ind w:left="1140"/>
        <w:rPr>
          <w:sz w:val="24"/>
          <w:szCs w:val="24"/>
        </w:rPr>
      </w:pPr>
      <w:r>
        <w:rPr>
          <w:rFonts w:hint="eastAsia"/>
          <w:sz w:val="24"/>
          <w:szCs w:val="24"/>
        </w:rPr>
        <w:t>产品名称、数量、价格：（本表为每期供货单中使用）</w:t>
      </w:r>
    </w:p>
    <w:tbl>
      <w:tblPr>
        <w:tblStyle w:val="9"/>
        <w:tblW w:w="8426" w:type="dxa"/>
        <w:jc w:val="center"/>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69"/>
        <w:gridCol w:w="657"/>
        <w:gridCol w:w="900"/>
        <w:gridCol w:w="720"/>
        <w:gridCol w:w="686"/>
        <w:gridCol w:w="934"/>
        <w:gridCol w:w="866"/>
        <w:gridCol w:w="761"/>
        <w:gridCol w:w="1421"/>
        <w:gridCol w:w="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69"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产品名称及牌号或商标</w:t>
            </w:r>
          </w:p>
        </w:tc>
        <w:tc>
          <w:tcPr>
            <w:tcW w:w="657"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产地</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型号规格</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包装</w:t>
            </w:r>
          </w:p>
        </w:tc>
        <w:tc>
          <w:tcPr>
            <w:tcW w:w="686"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等级</w:t>
            </w:r>
          </w:p>
        </w:tc>
        <w:tc>
          <w:tcPr>
            <w:tcW w:w="93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计量</w:t>
            </w:r>
          </w:p>
          <w:p>
            <w:pPr>
              <w:jc w:val="center"/>
              <w:rPr>
                <w:sz w:val="24"/>
                <w:szCs w:val="24"/>
              </w:rPr>
            </w:pPr>
            <w:r>
              <w:rPr>
                <w:rFonts w:hint="eastAsia"/>
                <w:sz w:val="24"/>
                <w:szCs w:val="24"/>
              </w:rPr>
              <w:t>单位</w:t>
            </w:r>
          </w:p>
        </w:tc>
        <w:tc>
          <w:tcPr>
            <w:tcW w:w="866"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数量</w:t>
            </w:r>
          </w:p>
        </w:tc>
        <w:tc>
          <w:tcPr>
            <w:tcW w:w="761" w:type="dxa"/>
            <w:tcBorders>
              <w:top w:val="single" w:color="auto" w:sz="4" w:space="0"/>
              <w:left w:val="single" w:color="auto" w:sz="4" w:space="0"/>
              <w:bottom w:val="single" w:color="auto" w:sz="4" w:space="0"/>
              <w:right w:val="single" w:color="auto" w:sz="4" w:space="0"/>
            </w:tcBorders>
            <w:vAlign w:val="center"/>
          </w:tcPr>
          <w:p>
            <w:pPr>
              <w:jc w:val="center"/>
              <w:rPr>
                <w:color w:val="0000FF"/>
                <w:sz w:val="24"/>
                <w:szCs w:val="24"/>
              </w:rPr>
            </w:pPr>
            <w:r>
              <w:rPr>
                <w:rFonts w:hint="eastAsia"/>
                <w:color w:val="0000FF"/>
                <w:sz w:val="24"/>
                <w:szCs w:val="24"/>
              </w:rPr>
              <w:t>基准单价</w:t>
            </w:r>
          </w:p>
        </w:tc>
        <w:tc>
          <w:tcPr>
            <w:tcW w:w="1433"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FF"/>
                <w:sz w:val="24"/>
                <w:szCs w:val="24"/>
              </w:rPr>
            </w:pPr>
            <w:r>
              <w:rPr>
                <w:rFonts w:hint="eastAsia"/>
                <w:color w:val="0000FF"/>
                <w:sz w:val="24"/>
                <w:szCs w:val="24"/>
              </w:rPr>
              <w:t>实际优惠</w:t>
            </w:r>
          </w:p>
          <w:p>
            <w:pPr>
              <w:jc w:val="center"/>
              <w:rPr>
                <w:color w:val="0000FF"/>
                <w:sz w:val="24"/>
                <w:szCs w:val="24"/>
              </w:rPr>
            </w:pPr>
            <w:r>
              <w:rPr>
                <w:rFonts w:hint="eastAsia"/>
                <w:color w:val="0000FF"/>
                <w:sz w:val="24"/>
                <w:szCs w:val="24"/>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69"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57"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86"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93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866"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761" w:type="dxa"/>
            <w:tcBorders>
              <w:top w:val="single" w:color="auto" w:sz="4" w:space="0"/>
              <w:left w:val="single" w:color="auto" w:sz="4" w:space="0"/>
              <w:bottom w:val="single" w:color="auto" w:sz="4" w:space="0"/>
              <w:right w:val="single" w:color="auto" w:sz="4" w:space="0"/>
            </w:tcBorders>
            <w:vAlign w:val="center"/>
          </w:tcPr>
          <w:p>
            <w:pPr>
              <w:jc w:val="center"/>
              <w:rPr>
                <w:color w:val="0000FF"/>
                <w:sz w:val="24"/>
                <w:szCs w:val="24"/>
              </w:rPr>
            </w:pPr>
          </w:p>
        </w:tc>
        <w:tc>
          <w:tcPr>
            <w:tcW w:w="1433"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FF"/>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69"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57"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86"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93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866"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761" w:type="dxa"/>
            <w:tcBorders>
              <w:top w:val="single" w:color="auto" w:sz="4" w:space="0"/>
              <w:left w:val="single" w:color="auto" w:sz="4" w:space="0"/>
              <w:bottom w:val="single" w:color="auto" w:sz="4" w:space="0"/>
              <w:right w:val="single" w:color="auto" w:sz="4" w:space="0"/>
            </w:tcBorders>
            <w:vAlign w:val="center"/>
          </w:tcPr>
          <w:p>
            <w:pPr>
              <w:jc w:val="center"/>
              <w:rPr>
                <w:color w:val="0000FF"/>
                <w:sz w:val="24"/>
                <w:szCs w:val="24"/>
              </w:rPr>
            </w:pPr>
          </w:p>
        </w:tc>
        <w:tc>
          <w:tcPr>
            <w:tcW w:w="1433"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FF"/>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69"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57"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86"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93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866"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761" w:type="dxa"/>
            <w:tcBorders>
              <w:top w:val="single" w:color="auto" w:sz="4" w:space="0"/>
              <w:left w:val="single" w:color="auto" w:sz="4" w:space="0"/>
              <w:bottom w:val="single" w:color="auto" w:sz="4" w:space="0"/>
              <w:right w:val="single" w:color="auto" w:sz="4" w:space="0"/>
            </w:tcBorders>
            <w:vAlign w:val="center"/>
          </w:tcPr>
          <w:p>
            <w:pPr>
              <w:jc w:val="center"/>
              <w:rPr>
                <w:color w:val="0000FF"/>
                <w:sz w:val="24"/>
                <w:szCs w:val="24"/>
              </w:rPr>
            </w:pPr>
          </w:p>
        </w:tc>
        <w:tc>
          <w:tcPr>
            <w:tcW w:w="1433"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FF"/>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69" w:type="dxa"/>
            <w:tcBorders>
              <w:top w:val="single" w:color="auto" w:sz="4" w:space="0"/>
              <w:left w:val="single" w:color="auto" w:sz="4" w:space="0"/>
              <w:bottom w:val="single" w:color="auto" w:sz="4" w:space="0"/>
              <w:right w:val="single" w:color="auto" w:sz="4" w:space="0"/>
            </w:tcBorders>
          </w:tcPr>
          <w:p>
            <w:pPr>
              <w:rPr>
                <w:sz w:val="24"/>
                <w:szCs w:val="24"/>
              </w:rPr>
            </w:pPr>
          </w:p>
        </w:tc>
        <w:tc>
          <w:tcPr>
            <w:tcW w:w="657" w:type="dxa"/>
            <w:tcBorders>
              <w:top w:val="single" w:color="auto" w:sz="4" w:space="0"/>
              <w:left w:val="single" w:color="auto" w:sz="4" w:space="0"/>
              <w:bottom w:val="single" w:color="auto" w:sz="4" w:space="0"/>
              <w:right w:val="single" w:color="auto" w:sz="4" w:space="0"/>
            </w:tcBorders>
          </w:tcPr>
          <w:p>
            <w:pPr>
              <w:rPr>
                <w:sz w:val="24"/>
                <w:szCs w:val="24"/>
              </w:rPr>
            </w:pPr>
          </w:p>
        </w:tc>
        <w:tc>
          <w:tcPr>
            <w:tcW w:w="900" w:type="dxa"/>
            <w:tcBorders>
              <w:top w:val="single" w:color="auto" w:sz="4" w:space="0"/>
              <w:left w:val="single" w:color="auto" w:sz="4" w:space="0"/>
              <w:bottom w:val="single" w:color="auto" w:sz="4" w:space="0"/>
              <w:right w:val="single" w:color="auto" w:sz="4" w:space="0"/>
            </w:tcBorders>
          </w:tcPr>
          <w:p>
            <w:pPr>
              <w:rPr>
                <w:sz w:val="24"/>
                <w:szCs w:val="24"/>
              </w:rPr>
            </w:pPr>
          </w:p>
        </w:tc>
        <w:tc>
          <w:tcPr>
            <w:tcW w:w="720" w:type="dxa"/>
            <w:tcBorders>
              <w:top w:val="single" w:color="auto" w:sz="4" w:space="0"/>
              <w:left w:val="single" w:color="auto" w:sz="4" w:space="0"/>
              <w:bottom w:val="single" w:color="auto" w:sz="4" w:space="0"/>
              <w:right w:val="single" w:color="auto" w:sz="4" w:space="0"/>
            </w:tcBorders>
          </w:tcPr>
          <w:p>
            <w:pPr>
              <w:rPr>
                <w:sz w:val="24"/>
                <w:szCs w:val="24"/>
              </w:rPr>
            </w:pPr>
          </w:p>
        </w:tc>
        <w:tc>
          <w:tcPr>
            <w:tcW w:w="686" w:type="dxa"/>
            <w:tcBorders>
              <w:top w:val="single" w:color="auto" w:sz="4" w:space="0"/>
              <w:left w:val="single" w:color="auto" w:sz="4" w:space="0"/>
              <w:bottom w:val="single" w:color="auto" w:sz="4" w:space="0"/>
              <w:right w:val="single" w:color="auto" w:sz="4" w:space="0"/>
            </w:tcBorders>
          </w:tcPr>
          <w:p>
            <w:pPr>
              <w:rPr>
                <w:sz w:val="24"/>
                <w:szCs w:val="24"/>
              </w:rPr>
            </w:pPr>
          </w:p>
        </w:tc>
        <w:tc>
          <w:tcPr>
            <w:tcW w:w="934" w:type="dxa"/>
            <w:tcBorders>
              <w:top w:val="single" w:color="auto" w:sz="4" w:space="0"/>
              <w:left w:val="single" w:color="auto" w:sz="4" w:space="0"/>
              <w:bottom w:val="single" w:color="auto" w:sz="4" w:space="0"/>
              <w:right w:val="single" w:color="auto" w:sz="4" w:space="0"/>
            </w:tcBorders>
          </w:tcPr>
          <w:p>
            <w:pPr>
              <w:rPr>
                <w:sz w:val="24"/>
                <w:szCs w:val="24"/>
              </w:rPr>
            </w:pPr>
          </w:p>
        </w:tc>
        <w:tc>
          <w:tcPr>
            <w:tcW w:w="866" w:type="dxa"/>
            <w:tcBorders>
              <w:top w:val="single" w:color="auto" w:sz="4" w:space="0"/>
              <w:left w:val="single" w:color="auto" w:sz="4" w:space="0"/>
              <w:bottom w:val="single" w:color="auto" w:sz="4" w:space="0"/>
              <w:right w:val="single" w:color="auto" w:sz="4" w:space="0"/>
            </w:tcBorders>
          </w:tcPr>
          <w:p>
            <w:pPr>
              <w:rPr>
                <w:sz w:val="24"/>
                <w:szCs w:val="24"/>
              </w:rPr>
            </w:pPr>
          </w:p>
        </w:tc>
        <w:tc>
          <w:tcPr>
            <w:tcW w:w="761" w:type="dxa"/>
            <w:tcBorders>
              <w:top w:val="single" w:color="auto" w:sz="4" w:space="0"/>
              <w:left w:val="single" w:color="auto" w:sz="4" w:space="0"/>
              <w:bottom w:val="single" w:color="auto" w:sz="4" w:space="0"/>
              <w:right w:val="single" w:color="auto" w:sz="4" w:space="0"/>
            </w:tcBorders>
          </w:tcPr>
          <w:p>
            <w:pPr>
              <w:ind w:firstLine="120" w:firstLineChars="50"/>
              <w:rPr>
                <w:color w:val="0000FF"/>
                <w:sz w:val="24"/>
                <w:szCs w:val="24"/>
              </w:rPr>
            </w:pPr>
          </w:p>
        </w:tc>
        <w:tc>
          <w:tcPr>
            <w:tcW w:w="1433" w:type="dxa"/>
            <w:gridSpan w:val="2"/>
            <w:tcBorders>
              <w:top w:val="single" w:color="auto" w:sz="4" w:space="0"/>
              <w:left w:val="single" w:color="auto" w:sz="4" w:space="0"/>
              <w:bottom w:val="single" w:color="auto" w:sz="4" w:space="0"/>
              <w:right w:val="single" w:color="auto" w:sz="4" w:space="0"/>
            </w:tcBorders>
          </w:tcPr>
          <w:p>
            <w:pPr>
              <w:rPr>
                <w:color w:val="0000FF"/>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69" w:type="dxa"/>
            <w:tcBorders>
              <w:top w:val="single" w:color="auto" w:sz="4" w:space="0"/>
              <w:left w:val="single" w:color="auto" w:sz="4" w:space="0"/>
              <w:bottom w:val="single" w:color="auto" w:sz="4" w:space="0"/>
              <w:right w:val="single" w:color="auto" w:sz="4" w:space="0"/>
            </w:tcBorders>
          </w:tcPr>
          <w:p>
            <w:pPr>
              <w:rPr>
                <w:sz w:val="24"/>
                <w:szCs w:val="24"/>
              </w:rPr>
            </w:pPr>
          </w:p>
        </w:tc>
        <w:tc>
          <w:tcPr>
            <w:tcW w:w="657" w:type="dxa"/>
            <w:tcBorders>
              <w:top w:val="single" w:color="auto" w:sz="4" w:space="0"/>
              <w:left w:val="single" w:color="auto" w:sz="4" w:space="0"/>
              <w:bottom w:val="single" w:color="auto" w:sz="4" w:space="0"/>
              <w:right w:val="single" w:color="auto" w:sz="4" w:space="0"/>
            </w:tcBorders>
          </w:tcPr>
          <w:p>
            <w:pPr>
              <w:rPr>
                <w:sz w:val="24"/>
                <w:szCs w:val="24"/>
              </w:rPr>
            </w:pPr>
          </w:p>
        </w:tc>
        <w:tc>
          <w:tcPr>
            <w:tcW w:w="900" w:type="dxa"/>
            <w:tcBorders>
              <w:top w:val="single" w:color="auto" w:sz="4" w:space="0"/>
              <w:left w:val="single" w:color="auto" w:sz="4" w:space="0"/>
              <w:bottom w:val="single" w:color="auto" w:sz="4" w:space="0"/>
              <w:right w:val="single" w:color="auto" w:sz="4" w:space="0"/>
            </w:tcBorders>
          </w:tcPr>
          <w:p>
            <w:pPr>
              <w:rPr>
                <w:sz w:val="24"/>
                <w:szCs w:val="24"/>
              </w:rPr>
            </w:pPr>
          </w:p>
        </w:tc>
        <w:tc>
          <w:tcPr>
            <w:tcW w:w="720" w:type="dxa"/>
            <w:tcBorders>
              <w:top w:val="single" w:color="auto" w:sz="4" w:space="0"/>
              <w:left w:val="single" w:color="auto" w:sz="4" w:space="0"/>
              <w:bottom w:val="single" w:color="auto" w:sz="4" w:space="0"/>
              <w:right w:val="single" w:color="auto" w:sz="4" w:space="0"/>
            </w:tcBorders>
          </w:tcPr>
          <w:p>
            <w:pPr>
              <w:rPr>
                <w:sz w:val="24"/>
                <w:szCs w:val="24"/>
              </w:rPr>
            </w:pPr>
          </w:p>
        </w:tc>
        <w:tc>
          <w:tcPr>
            <w:tcW w:w="686" w:type="dxa"/>
            <w:tcBorders>
              <w:top w:val="single" w:color="auto" w:sz="4" w:space="0"/>
              <w:left w:val="single" w:color="auto" w:sz="4" w:space="0"/>
              <w:bottom w:val="single" w:color="auto" w:sz="4" w:space="0"/>
              <w:right w:val="single" w:color="auto" w:sz="4" w:space="0"/>
            </w:tcBorders>
          </w:tcPr>
          <w:p>
            <w:pPr>
              <w:rPr>
                <w:sz w:val="24"/>
                <w:szCs w:val="24"/>
              </w:rPr>
            </w:pPr>
          </w:p>
        </w:tc>
        <w:tc>
          <w:tcPr>
            <w:tcW w:w="934" w:type="dxa"/>
            <w:tcBorders>
              <w:top w:val="single" w:color="auto" w:sz="4" w:space="0"/>
              <w:left w:val="single" w:color="auto" w:sz="4" w:space="0"/>
              <w:bottom w:val="single" w:color="auto" w:sz="4" w:space="0"/>
              <w:right w:val="single" w:color="auto" w:sz="4" w:space="0"/>
            </w:tcBorders>
          </w:tcPr>
          <w:p>
            <w:pPr>
              <w:rPr>
                <w:sz w:val="24"/>
                <w:szCs w:val="24"/>
              </w:rPr>
            </w:pPr>
          </w:p>
        </w:tc>
        <w:tc>
          <w:tcPr>
            <w:tcW w:w="866" w:type="dxa"/>
            <w:tcBorders>
              <w:top w:val="single" w:color="auto" w:sz="4" w:space="0"/>
              <w:left w:val="single" w:color="auto" w:sz="4" w:space="0"/>
              <w:bottom w:val="single" w:color="auto" w:sz="4" w:space="0"/>
              <w:right w:val="single" w:color="auto" w:sz="4" w:space="0"/>
            </w:tcBorders>
          </w:tcPr>
          <w:p>
            <w:pPr>
              <w:rPr>
                <w:sz w:val="24"/>
                <w:szCs w:val="24"/>
              </w:rPr>
            </w:pPr>
          </w:p>
        </w:tc>
        <w:tc>
          <w:tcPr>
            <w:tcW w:w="761" w:type="dxa"/>
            <w:tcBorders>
              <w:top w:val="single" w:color="auto" w:sz="4" w:space="0"/>
              <w:left w:val="single" w:color="auto" w:sz="4" w:space="0"/>
              <w:bottom w:val="single" w:color="auto" w:sz="4" w:space="0"/>
              <w:right w:val="single" w:color="auto" w:sz="4" w:space="0"/>
            </w:tcBorders>
          </w:tcPr>
          <w:p>
            <w:pPr>
              <w:ind w:firstLine="120" w:firstLineChars="50"/>
              <w:rPr>
                <w:color w:val="0000FF"/>
                <w:sz w:val="24"/>
                <w:szCs w:val="24"/>
              </w:rPr>
            </w:pPr>
          </w:p>
        </w:tc>
        <w:tc>
          <w:tcPr>
            <w:tcW w:w="1433" w:type="dxa"/>
            <w:gridSpan w:val="2"/>
            <w:tcBorders>
              <w:top w:val="single" w:color="auto" w:sz="4" w:space="0"/>
              <w:left w:val="single" w:color="auto" w:sz="4" w:space="0"/>
              <w:bottom w:val="single" w:color="auto" w:sz="4" w:space="0"/>
              <w:right w:val="single" w:color="auto" w:sz="4" w:space="0"/>
            </w:tcBorders>
          </w:tcPr>
          <w:p>
            <w:pPr>
              <w:rPr>
                <w:color w:val="0000FF"/>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2" w:type="dxa"/>
          <w:jc w:val="center"/>
        </w:trPr>
        <w:tc>
          <w:tcPr>
            <w:tcW w:w="8414" w:type="dxa"/>
            <w:gridSpan w:val="9"/>
            <w:tcBorders>
              <w:top w:val="single" w:color="auto" w:sz="4" w:space="0"/>
              <w:left w:val="single" w:color="auto" w:sz="4" w:space="0"/>
              <w:bottom w:val="single" w:color="auto" w:sz="4" w:space="0"/>
              <w:right w:val="single" w:color="auto" w:sz="4" w:space="0"/>
            </w:tcBorders>
          </w:tcPr>
          <w:p>
            <w:pPr>
              <w:rPr>
                <w:sz w:val="24"/>
                <w:szCs w:val="24"/>
              </w:rPr>
            </w:pPr>
            <w:r>
              <w:rPr>
                <w:rFonts w:hint="eastAsia"/>
                <w:sz w:val="24"/>
                <w:szCs w:val="24"/>
              </w:rPr>
              <w:t>合计金额（人民币）万仟佰拾元角分</w:t>
            </w:r>
          </w:p>
        </w:tc>
      </w:tr>
    </w:tbl>
    <w:p>
      <w:pPr>
        <w:rPr>
          <w:sz w:val="24"/>
          <w:szCs w:val="24"/>
        </w:rPr>
      </w:pPr>
    </w:p>
    <w:p>
      <w:pPr>
        <w:numPr>
          <w:ilvl w:val="0"/>
          <w:numId w:val="4"/>
        </w:numPr>
        <w:tabs>
          <w:tab w:val="left" w:pos="1140"/>
          <w:tab w:val="clear" w:pos="1110"/>
        </w:tabs>
        <w:ind w:left="1140"/>
        <w:rPr>
          <w:sz w:val="24"/>
          <w:szCs w:val="24"/>
        </w:rPr>
      </w:pPr>
      <w:r>
        <w:rPr>
          <w:rFonts w:hint="eastAsia"/>
          <w:sz w:val="24"/>
          <w:szCs w:val="24"/>
        </w:rPr>
        <w:t>质量要求：</w:t>
      </w:r>
    </w:p>
    <w:p>
      <w:pPr>
        <w:numPr>
          <w:ilvl w:val="1"/>
          <w:numId w:val="4"/>
        </w:numPr>
        <w:tabs>
          <w:tab w:val="left" w:pos="1620"/>
          <w:tab w:val="clear" w:pos="1590"/>
        </w:tabs>
        <w:ind w:left="1620"/>
        <w:jc w:val="left"/>
        <w:rPr>
          <w:sz w:val="24"/>
          <w:szCs w:val="24"/>
        </w:rPr>
      </w:pPr>
      <w:r>
        <w:rPr>
          <w:rFonts w:hint="eastAsia"/>
          <w:sz w:val="24"/>
          <w:szCs w:val="24"/>
        </w:rPr>
        <w:t>大米须达国家GB1354-2009大米标准二级标准，水分含量在</w:t>
      </w:r>
      <w:r>
        <w:rPr>
          <w:sz w:val="24"/>
          <w:szCs w:val="24"/>
        </w:rPr>
        <w:t>12</w:t>
      </w:r>
      <w:r>
        <w:rPr>
          <w:rFonts w:hint="eastAsia"/>
          <w:sz w:val="24"/>
          <w:szCs w:val="24"/>
        </w:rPr>
        <w:t>°以下，无掺杂、无沙石，无黄粒米。大米包装袋上印有大米品名、等级、数量、出厂名、厂家地址及其电话；</w:t>
      </w:r>
    </w:p>
    <w:p>
      <w:pPr>
        <w:numPr>
          <w:ilvl w:val="1"/>
          <w:numId w:val="4"/>
        </w:numPr>
        <w:tabs>
          <w:tab w:val="left" w:pos="1620"/>
          <w:tab w:val="clear" w:pos="1590"/>
        </w:tabs>
        <w:ind w:left="1620"/>
        <w:jc w:val="left"/>
        <w:rPr>
          <w:sz w:val="24"/>
          <w:szCs w:val="24"/>
        </w:rPr>
      </w:pPr>
      <w:r>
        <w:rPr>
          <w:rFonts w:hint="eastAsia"/>
          <w:sz w:val="24"/>
          <w:szCs w:val="24"/>
        </w:rPr>
        <w:t>高筋面粉达GB8607国家标准，低筋面粉达Q / JHMF01标准；</w:t>
      </w:r>
    </w:p>
    <w:p>
      <w:pPr>
        <w:numPr>
          <w:ilvl w:val="1"/>
          <w:numId w:val="4"/>
        </w:numPr>
        <w:tabs>
          <w:tab w:val="left" w:pos="1620"/>
          <w:tab w:val="clear" w:pos="1590"/>
        </w:tabs>
        <w:ind w:left="1620"/>
        <w:rPr>
          <w:sz w:val="24"/>
          <w:szCs w:val="24"/>
        </w:rPr>
      </w:pPr>
      <w:r>
        <w:rPr>
          <w:rFonts w:hint="eastAsia"/>
          <w:sz w:val="24"/>
          <w:szCs w:val="24"/>
        </w:rPr>
        <w:t>食用油（餐饮专用），符合国家食用调和油GB1535国家标准。</w:t>
      </w:r>
    </w:p>
    <w:p>
      <w:pPr>
        <w:numPr>
          <w:ilvl w:val="0"/>
          <w:numId w:val="4"/>
        </w:numPr>
        <w:tabs>
          <w:tab w:val="left" w:pos="1140"/>
          <w:tab w:val="clear" w:pos="1110"/>
        </w:tabs>
        <w:ind w:left="1140"/>
        <w:rPr>
          <w:sz w:val="24"/>
          <w:szCs w:val="24"/>
        </w:rPr>
      </w:pPr>
      <w:r>
        <w:rPr>
          <w:rFonts w:hint="eastAsia"/>
          <w:sz w:val="24"/>
          <w:szCs w:val="24"/>
        </w:rPr>
        <w:t>交（提）货地点日期：从</w:t>
      </w:r>
      <w:r>
        <w:rPr>
          <w:rFonts w:hint="eastAsia"/>
          <w:sz w:val="24"/>
          <w:szCs w:val="24"/>
          <w:u w:val="single"/>
        </w:rPr>
        <w:t xml:space="preserve">20    </w:t>
      </w:r>
      <w:r>
        <w:rPr>
          <w:rFonts w:hint="eastAsia"/>
          <w:sz w:val="24"/>
          <w:szCs w:val="24"/>
        </w:rPr>
        <w:t>年 月 日，地点学生饭堂仓库。</w:t>
      </w:r>
    </w:p>
    <w:p>
      <w:pPr>
        <w:numPr>
          <w:ilvl w:val="0"/>
          <w:numId w:val="4"/>
        </w:numPr>
        <w:tabs>
          <w:tab w:val="left" w:pos="1140"/>
          <w:tab w:val="clear" w:pos="1110"/>
        </w:tabs>
        <w:ind w:left="1140"/>
        <w:rPr>
          <w:sz w:val="24"/>
          <w:szCs w:val="24"/>
        </w:rPr>
      </w:pPr>
      <w:r>
        <w:rPr>
          <w:rFonts w:hint="eastAsia"/>
          <w:sz w:val="24"/>
          <w:szCs w:val="24"/>
        </w:rPr>
        <w:t>交（提）货及验收方法、地点、期限：</w:t>
      </w:r>
    </w:p>
    <w:p>
      <w:pPr>
        <w:numPr>
          <w:ilvl w:val="1"/>
          <w:numId w:val="4"/>
        </w:numPr>
        <w:tabs>
          <w:tab w:val="left" w:pos="1620"/>
          <w:tab w:val="clear" w:pos="1590"/>
        </w:tabs>
        <w:ind w:left="1620"/>
        <w:rPr>
          <w:sz w:val="24"/>
          <w:szCs w:val="24"/>
        </w:rPr>
      </w:pPr>
      <w:r>
        <w:rPr>
          <w:rFonts w:hint="eastAsia"/>
          <w:sz w:val="24"/>
          <w:szCs w:val="24"/>
        </w:rPr>
        <w:t>验收方法：按第二条质量要求进行验收；</w:t>
      </w:r>
    </w:p>
    <w:p>
      <w:pPr>
        <w:numPr>
          <w:ilvl w:val="1"/>
          <w:numId w:val="4"/>
        </w:numPr>
        <w:tabs>
          <w:tab w:val="left" w:pos="1620"/>
          <w:tab w:val="clear" w:pos="1590"/>
        </w:tabs>
        <w:ind w:left="1620"/>
        <w:rPr>
          <w:sz w:val="24"/>
          <w:szCs w:val="24"/>
        </w:rPr>
      </w:pPr>
      <w:r>
        <w:rPr>
          <w:rFonts w:hint="eastAsia"/>
          <w:sz w:val="24"/>
          <w:szCs w:val="24"/>
        </w:rPr>
        <w:t>验收地点：后勤服务与管理处饮食服务中心；</w:t>
      </w:r>
    </w:p>
    <w:p>
      <w:pPr>
        <w:numPr>
          <w:ilvl w:val="1"/>
          <w:numId w:val="4"/>
        </w:numPr>
        <w:tabs>
          <w:tab w:val="left" w:pos="1620"/>
          <w:tab w:val="clear" w:pos="1590"/>
        </w:tabs>
        <w:ind w:left="1620"/>
        <w:rPr>
          <w:sz w:val="24"/>
          <w:szCs w:val="24"/>
        </w:rPr>
      </w:pPr>
      <w:r>
        <w:rPr>
          <w:rFonts w:hint="eastAsia"/>
          <w:sz w:val="24"/>
          <w:szCs w:val="24"/>
        </w:rPr>
        <w:t>验收期限：如对产品质量有异议，甲方必须在</w:t>
      </w:r>
      <w:r>
        <w:rPr>
          <w:sz w:val="24"/>
          <w:szCs w:val="24"/>
        </w:rPr>
        <w:t>3</w:t>
      </w:r>
      <w:r>
        <w:rPr>
          <w:rFonts w:hint="eastAsia"/>
          <w:sz w:val="24"/>
          <w:szCs w:val="24"/>
        </w:rPr>
        <w:t>日内以书面形式通知乙方。</w:t>
      </w:r>
    </w:p>
    <w:p>
      <w:pPr>
        <w:numPr>
          <w:ilvl w:val="0"/>
          <w:numId w:val="4"/>
        </w:numPr>
        <w:tabs>
          <w:tab w:val="left" w:pos="1140"/>
          <w:tab w:val="clear" w:pos="1110"/>
        </w:tabs>
        <w:ind w:left="1140"/>
        <w:rPr>
          <w:sz w:val="24"/>
          <w:szCs w:val="24"/>
        </w:rPr>
      </w:pPr>
      <w:r>
        <w:rPr>
          <w:rFonts w:hint="eastAsia"/>
          <w:sz w:val="24"/>
          <w:szCs w:val="24"/>
        </w:rPr>
        <w:t>包装标准及要求：（一）袋装或桶装；（二）散装。</w:t>
      </w:r>
    </w:p>
    <w:p>
      <w:pPr>
        <w:numPr>
          <w:ilvl w:val="0"/>
          <w:numId w:val="4"/>
        </w:numPr>
        <w:tabs>
          <w:tab w:val="left" w:pos="1140"/>
          <w:tab w:val="clear" w:pos="1110"/>
        </w:tabs>
        <w:ind w:left="1140"/>
        <w:rPr>
          <w:sz w:val="24"/>
          <w:szCs w:val="24"/>
        </w:rPr>
      </w:pPr>
      <w:r>
        <w:rPr>
          <w:rFonts w:hint="eastAsia"/>
          <w:sz w:val="24"/>
          <w:szCs w:val="24"/>
        </w:rPr>
        <w:t>运输方式及运杂费负担：由乙方送货到甲方指定仓库，费用由乙方负责。</w:t>
      </w:r>
    </w:p>
    <w:p>
      <w:pPr>
        <w:numPr>
          <w:ilvl w:val="0"/>
          <w:numId w:val="4"/>
        </w:numPr>
        <w:tabs>
          <w:tab w:val="left" w:pos="1140"/>
          <w:tab w:val="clear" w:pos="1110"/>
        </w:tabs>
        <w:ind w:left="1140"/>
        <w:rPr>
          <w:sz w:val="24"/>
          <w:szCs w:val="24"/>
        </w:rPr>
      </w:pPr>
      <w:r>
        <w:rPr>
          <w:rFonts w:hint="eastAsia"/>
          <w:sz w:val="24"/>
          <w:szCs w:val="24"/>
        </w:rPr>
        <w:t>乙方交付产品质量保证金的时间、方法：</w:t>
      </w:r>
    </w:p>
    <w:p>
      <w:pPr>
        <w:ind w:left="1140" w:leftChars="543"/>
        <w:rPr>
          <w:sz w:val="24"/>
          <w:szCs w:val="24"/>
        </w:rPr>
      </w:pPr>
      <w:r>
        <w:rPr>
          <w:rFonts w:hint="eastAsia"/>
          <w:sz w:val="24"/>
          <w:szCs w:val="24"/>
        </w:rPr>
        <w:t>为了保证供货产品质量的诚意，乙方须将投标保证金转为质量保证金。合同期满后，所供产品质量确无问题，甲方如数退还保证金给乙方。</w:t>
      </w:r>
    </w:p>
    <w:p>
      <w:pPr>
        <w:numPr>
          <w:ilvl w:val="0"/>
          <w:numId w:val="4"/>
        </w:numPr>
        <w:tabs>
          <w:tab w:val="left" w:pos="1140"/>
          <w:tab w:val="clear" w:pos="1110"/>
        </w:tabs>
        <w:ind w:left="1140"/>
        <w:rPr>
          <w:sz w:val="24"/>
          <w:szCs w:val="24"/>
        </w:rPr>
      </w:pPr>
      <w:r>
        <w:rPr>
          <w:rFonts w:hint="eastAsia"/>
          <w:sz w:val="24"/>
          <w:szCs w:val="24"/>
        </w:rPr>
        <w:t>结算方法及期限：</w:t>
      </w:r>
    </w:p>
    <w:p>
      <w:pPr>
        <w:ind w:left="1140"/>
        <w:rPr>
          <w:sz w:val="24"/>
          <w:szCs w:val="24"/>
        </w:rPr>
      </w:pPr>
      <w:r>
        <w:rPr>
          <w:rFonts w:hint="eastAsia"/>
          <w:sz w:val="24"/>
          <w:szCs w:val="24"/>
        </w:rPr>
        <w:t>乙方交售的产品经验收合格后，甲方凭乙方单位正式发票和甲方食堂验收单，在十天内通过银行转帐向乙方支付货款。</w:t>
      </w:r>
    </w:p>
    <w:p>
      <w:pPr>
        <w:ind w:firstLine="617" w:firstLineChars="257"/>
        <w:rPr>
          <w:sz w:val="24"/>
          <w:szCs w:val="24"/>
        </w:rPr>
      </w:pPr>
      <w:r>
        <w:rPr>
          <w:rFonts w:hint="eastAsia"/>
          <w:sz w:val="24"/>
          <w:szCs w:val="24"/>
        </w:rPr>
        <w:t>九、违约责任：</w:t>
      </w:r>
    </w:p>
    <w:p>
      <w:pPr>
        <w:numPr>
          <w:ilvl w:val="0"/>
          <w:numId w:val="5"/>
        </w:numPr>
        <w:rPr>
          <w:sz w:val="24"/>
          <w:szCs w:val="24"/>
        </w:rPr>
      </w:pPr>
      <w:r>
        <w:rPr>
          <w:rFonts w:hint="eastAsia"/>
          <w:sz w:val="24"/>
          <w:szCs w:val="24"/>
        </w:rPr>
        <w:t>甲方在合同执行中违约退货的，应偿付乙方退货部分货款总值</w:t>
      </w:r>
      <w:r>
        <w:rPr>
          <w:sz w:val="24"/>
          <w:szCs w:val="24"/>
        </w:rPr>
        <w:t>10%</w:t>
      </w:r>
      <w:r>
        <w:rPr>
          <w:rFonts w:hint="eastAsia"/>
          <w:sz w:val="24"/>
          <w:szCs w:val="24"/>
        </w:rPr>
        <w:t>的违约金。因此造成乙方损失的，还应根据实际情况赔偿其损失；</w:t>
      </w:r>
    </w:p>
    <w:p>
      <w:pPr>
        <w:numPr>
          <w:ilvl w:val="0"/>
          <w:numId w:val="5"/>
        </w:numPr>
        <w:rPr>
          <w:sz w:val="24"/>
          <w:szCs w:val="24"/>
        </w:rPr>
      </w:pPr>
      <w:r>
        <w:rPr>
          <w:rFonts w:hint="eastAsia"/>
          <w:sz w:val="24"/>
          <w:szCs w:val="24"/>
        </w:rPr>
        <w:t>甲方无故拒收乙方送来的货物，应向乙方偿付被拒收货款总值</w:t>
      </w:r>
      <w:r>
        <w:rPr>
          <w:sz w:val="24"/>
          <w:szCs w:val="24"/>
        </w:rPr>
        <w:t>20%</w:t>
      </w:r>
      <w:r>
        <w:rPr>
          <w:rFonts w:hint="eastAsia"/>
          <w:sz w:val="24"/>
          <w:szCs w:val="24"/>
        </w:rPr>
        <w:t>的违约金，并承担因此而造成的损失；</w:t>
      </w:r>
    </w:p>
    <w:p>
      <w:pPr>
        <w:numPr>
          <w:ilvl w:val="0"/>
          <w:numId w:val="5"/>
        </w:numPr>
        <w:rPr>
          <w:sz w:val="24"/>
          <w:szCs w:val="24"/>
        </w:rPr>
      </w:pPr>
      <w:r>
        <w:rPr>
          <w:rFonts w:hint="eastAsia"/>
          <w:sz w:val="24"/>
          <w:szCs w:val="24"/>
        </w:rPr>
        <w:t>甲方未按合同规定期限付款的，应根据银行有关延期付款的规定，向乙方偿还延期付款违约金。</w:t>
      </w:r>
    </w:p>
    <w:p>
      <w:pPr>
        <w:numPr>
          <w:ilvl w:val="0"/>
          <w:numId w:val="5"/>
        </w:numPr>
        <w:rPr>
          <w:sz w:val="24"/>
          <w:szCs w:val="24"/>
        </w:rPr>
      </w:pPr>
      <w:r>
        <w:rPr>
          <w:rFonts w:hint="eastAsia"/>
          <w:sz w:val="24"/>
          <w:szCs w:val="24"/>
        </w:rPr>
        <w:t>乙方不按甲方要求的时间、地点、数量、质量供货的，每次按供货货物总值的</w:t>
      </w:r>
      <w:r>
        <w:rPr>
          <w:sz w:val="24"/>
          <w:szCs w:val="24"/>
        </w:rPr>
        <w:t>20%</w:t>
      </w:r>
      <w:r>
        <w:rPr>
          <w:rFonts w:hint="eastAsia"/>
          <w:sz w:val="24"/>
          <w:szCs w:val="24"/>
        </w:rPr>
        <w:t>支付给甲方违约金，并从乙方提供的产品质量保证金中扣减；</w:t>
      </w:r>
    </w:p>
    <w:p>
      <w:pPr>
        <w:numPr>
          <w:ilvl w:val="0"/>
          <w:numId w:val="5"/>
        </w:numPr>
        <w:rPr>
          <w:sz w:val="24"/>
          <w:szCs w:val="24"/>
        </w:rPr>
      </w:pPr>
      <w:r>
        <w:rPr>
          <w:rFonts w:hint="eastAsia"/>
          <w:sz w:val="24"/>
          <w:szCs w:val="24"/>
        </w:rPr>
        <w:t>乙方供应的产品没有达到质量标准，甲方可无条件拒收，期间发生的一切费用由乙方负责；</w:t>
      </w:r>
    </w:p>
    <w:p>
      <w:pPr>
        <w:numPr>
          <w:ilvl w:val="0"/>
          <w:numId w:val="5"/>
        </w:numPr>
        <w:rPr>
          <w:sz w:val="24"/>
          <w:szCs w:val="24"/>
        </w:rPr>
      </w:pPr>
      <w:r>
        <w:rPr>
          <w:rFonts w:hint="eastAsia"/>
          <w:sz w:val="24"/>
          <w:szCs w:val="24"/>
        </w:rPr>
        <w:t>乙方供货的包装不符合合同中有关规定，发货前需返修或重新包装的，乙方应负责返修或重新包装，并承担因此而需要的一切费用。因包装不合格给甲方造成损失的，乙方应负责赔偿。</w:t>
      </w:r>
    </w:p>
    <w:p>
      <w:pPr>
        <w:numPr>
          <w:ilvl w:val="0"/>
          <w:numId w:val="5"/>
        </w:numPr>
        <w:rPr>
          <w:sz w:val="24"/>
          <w:szCs w:val="24"/>
        </w:rPr>
      </w:pPr>
      <w:r>
        <w:rPr>
          <w:rFonts w:hint="eastAsia"/>
          <w:sz w:val="24"/>
          <w:szCs w:val="24"/>
        </w:rPr>
        <w:t>甲方没有通知乙方送货，而乙方自行向甲方供货时，甲方可拒收，由此而造成的一切损失由乙方自行负责。</w:t>
      </w:r>
    </w:p>
    <w:p>
      <w:pPr>
        <w:numPr>
          <w:ilvl w:val="0"/>
          <w:numId w:val="5"/>
        </w:numPr>
        <w:rPr>
          <w:sz w:val="24"/>
          <w:szCs w:val="24"/>
        </w:rPr>
      </w:pPr>
      <w:r>
        <w:rPr>
          <w:rFonts w:hint="eastAsia"/>
          <w:sz w:val="24"/>
          <w:szCs w:val="24"/>
        </w:rPr>
        <w:t>因乙方供应的产品质量有问题而引起食物中毒事故的，一切后果由乙方负责。</w:t>
      </w:r>
    </w:p>
    <w:p>
      <w:pPr>
        <w:ind w:firstLine="750"/>
        <w:rPr>
          <w:sz w:val="24"/>
          <w:szCs w:val="24"/>
        </w:rPr>
      </w:pPr>
      <w:r>
        <w:rPr>
          <w:rFonts w:hint="eastAsia"/>
          <w:sz w:val="24"/>
          <w:szCs w:val="24"/>
        </w:rPr>
        <w:t>十、合同的变更与解除</w:t>
      </w:r>
    </w:p>
    <w:p>
      <w:pPr>
        <w:ind w:left="750" w:leftChars="357" w:firstLine="435"/>
        <w:rPr>
          <w:sz w:val="24"/>
          <w:szCs w:val="24"/>
        </w:rPr>
      </w:pPr>
      <w:r>
        <w:rPr>
          <w:rFonts w:hint="eastAsia"/>
          <w:sz w:val="24"/>
          <w:szCs w:val="24"/>
        </w:rPr>
        <w:t>甲、乙双方任何一方要求解除或变更合同时，应提前20日历天通知对方。甲、乙双方一方接到另一方要求解除或变更合同的建议后，应在收到书面通知之日起20日历天内做出答复。甲、乙双方另有约定的，按约定期限答复，逾期不答复的，视为默认。</w:t>
      </w:r>
    </w:p>
    <w:p>
      <w:pPr>
        <w:ind w:firstLine="750"/>
        <w:rPr>
          <w:sz w:val="24"/>
          <w:szCs w:val="24"/>
        </w:rPr>
      </w:pPr>
      <w:r>
        <w:rPr>
          <w:rFonts w:hint="eastAsia"/>
          <w:sz w:val="24"/>
          <w:szCs w:val="24"/>
        </w:rPr>
        <w:t>十一、其他约定</w:t>
      </w:r>
    </w:p>
    <w:p>
      <w:pPr>
        <w:ind w:left="990" w:leftChars="357" w:hanging="240" w:hangingChars="100"/>
        <w:rPr>
          <w:sz w:val="24"/>
          <w:szCs w:val="24"/>
        </w:rPr>
      </w:pPr>
      <w:r>
        <w:rPr>
          <w:rFonts w:hint="eastAsia"/>
          <w:sz w:val="24"/>
          <w:szCs w:val="24"/>
        </w:rPr>
        <w:t>甲、乙双方的任何一方由于不可抗拒的原因不能履行或不能完全履行合同时，应尽快书面向对方通报，并经有关主管机关证明后，可允许延期履行、部分履行或不履行，并可根据情况部分或全部免予承担违约责任。</w:t>
      </w:r>
    </w:p>
    <w:p>
      <w:pPr>
        <w:ind w:left="990" w:leftChars="357" w:hanging="240" w:hangingChars="100"/>
        <w:rPr>
          <w:sz w:val="24"/>
          <w:szCs w:val="24"/>
        </w:rPr>
      </w:pPr>
      <w:r>
        <w:rPr>
          <w:rFonts w:hint="eastAsia"/>
          <w:sz w:val="24"/>
          <w:szCs w:val="24"/>
        </w:rPr>
        <w:t>十二、本合同如发生争议，由双方协商或调解解决，协商或调解不成时由合同签订所在地仲裁机构或向签订合同所在地人民法院起诉（仲裁或起诉任选一种）。</w:t>
      </w:r>
    </w:p>
    <w:p>
      <w:pPr>
        <w:ind w:left="990" w:leftChars="357" w:hanging="240" w:hangingChars="100"/>
        <w:rPr>
          <w:sz w:val="24"/>
          <w:szCs w:val="24"/>
        </w:rPr>
      </w:pPr>
      <w:r>
        <w:rPr>
          <w:rFonts w:hint="eastAsia"/>
          <w:sz w:val="24"/>
          <w:szCs w:val="24"/>
        </w:rPr>
        <w:t>十三、本合同一式六份，甲方四份，乙方二份。</w:t>
      </w:r>
    </w:p>
    <w:p>
      <w:pPr>
        <w:ind w:left="990" w:leftChars="357" w:hanging="240" w:hangingChars="100"/>
        <w:rPr>
          <w:sz w:val="24"/>
          <w:szCs w:val="24"/>
        </w:rPr>
      </w:pPr>
      <w:r>
        <w:rPr>
          <w:rFonts w:hint="eastAsia"/>
          <w:sz w:val="24"/>
          <w:szCs w:val="24"/>
        </w:rPr>
        <w:t>十四、本合同有效期从</w:t>
      </w:r>
      <w:r>
        <w:rPr>
          <w:sz w:val="24"/>
          <w:szCs w:val="24"/>
        </w:rPr>
        <w:t>______</w:t>
      </w:r>
      <w:r>
        <w:rPr>
          <w:rFonts w:hint="eastAsia"/>
          <w:sz w:val="24"/>
          <w:szCs w:val="24"/>
        </w:rPr>
        <w:t>年</w:t>
      </w:r>
      <w:r>
        <w:rPr>
          <w:sz w:val="24"/>
          <w:szCs w:val="24"/>
        </w:rPr>
        <w:t>___</w:t>
      </w:r>
      <w:r>
        <w:rPr>
          <w:rFonts w:hint="eastAsia"/>
          <w:sz w:val="24"/>
          <w:szCs w:val="24"/>
        </w:rPr>
        <w:t>月</w:t>
      </w:r>
      <w:r>
        <w:rPr>
          <w:sz w:val="24"/>
          <w:szCs w:val="24"/>
        </w:rPr>
        <w:t>___</w:t>
      </w:r>
      <w:r>
        <w:rPr>
          <w:rFonts w:hint="eastAsia"/>
          <w:sz w:val="24"/>
          <w:szCs w:val="24"/>
        </w:rPr>
        <w:t>日至</w:t>
      </w:r>
      <w:r>
        <w:rPr>
          <w:sz w:val="24"/>
          <w:szCs w:val="24"/>
        </w:rPr>
        <w:t>_____</w:t>
      </w:r>
      <w:r>
        <w:rPr>
          <w:rFonts w:hint="eastAsia"/>
          <w:sz w:val="24"/>
          <w:szCs w:val="24"/>
        </w:rPr>
        <w:t>年</w:t>
      </w:r>
      <w:r>
        <w:rPr>
          <w:sz w:val="24"/>
          <w:szCs w:val="24"/>
        </w:rPr>
        <w:t>___</w:t>
      </w:r>
      <w:r>
        <w:rPr>
          <w:rFonts w:hint="eastAsia"/>
          <w:sz w:val="24"/>
          <w:szCs w:val="24"/>
        </w:rPr>
        <w:t>月</w:t>
      </w:r>
      <w:r>
        <w:rPr>
          <w:sz w:val="24"/>
          <w:szCs w:val="24"/>
        </w:rPr>
        <w:t>___</w:t>
      </w:r>
      <w:r>
        <w:rPr>
          <w:rFonts w:hint="eastAsia"/>
          <w:sz w:val="24"/>
          <w:szCs w:val="24"/>
        </w:rPr>
        <w:t>日止。</w:t>
      </w:r>
    </w:p>
    <w:p>
      <w:pPr>
        <w:ind w:left="990" w:leftChars="357" w:hanging="240" w:hangingChars="100"/>
        <w:rPr>
          <w:sz w:val="24"/>
          <w:szCs w:val="24"/>
        </w:rPr>
      </w:pPr>
    </w:p>
    <w:p>
      <w:pPr>
        <w:ind w:firstLine="720" w:firstLineChars="300"/>
        <w:rPr>
          <w:sz w:val="24"/>
          <w:szCs w:val="24"/>
        </w:rPr>
      </w:pPr>
      <w:r>
        <w:rPr>
          <w:rFonts w:hint="eastAsia"/>
          <w:sz w:val="24"/>
          <w:szCs w:val="24"/>
        </w:rPr>
        <w:t>甲方：广东石油化工学院               乙方：</w:t>
      </w:r>
    </w:p>
    <w:p>
      <w:pPr>
        <w:ind w:left="315" w:leftChars="150" w:firstLine="480" w:firstLineChars="200"/>
        <w:rPr>
          <w:sz w:val="24"/>
          <w:szCs w:val="24"/>
        </w:rPr>
      </w:pPr>
      <w:r>
        <w:rPr>
          <w:rFonts w:hint="eastAsia"/>
          <w:sz w:val="24"/>
          <w:szCs w:val="24"/>
        </w:rPr>
        <w:t>代表人：代表人：</w:t>
      </w:r>
    </w:p>
    <w:p>
      <w:pPr>
        <w:ind w:left="1029" w:leftChars="490" w:firstLine="4128" w:firstLineChars="1720"/>
        <w:rPr>
          <w:sz w:val="24"/>
          <w:szCs w:val="24"/>
        </w:rPr>
      </w:pPr>
      <w:r>
        <w:rPr>
          <w:rFonts w:hint="eastAsia"/>
          <w:sz w:val="24"/>
          <w:szCs w:val="24"/>
        </w:rPr>
        <w:t>银行帐号：</w:t>
      </w:r>
    </w:p>
    <w:p>
      <w:pPr>
        <w:ind w:firstLine="840" w:firstLineChars="350"/>
        <w:rPr>
          <w:sz w:val="24"/>
          <w:szCs w:val="24"/>
        </w:rPr>
      </w:pPr>
      <w:r>
        <w:rPr>
          <w:rFonts w:hint="eastAsia"/>
          <w:sz w:val="24"/>
          <w:szCs w:val="24"/>
        </w:rPr>
        <w:t>年月日 年月日</w:t>
      </w:r>
    </w:p>
    <w:p>
      <w:pPr>
        <w:rPr>
          <w:rFonts w:ascii="宋体" w:hAnsi="宋体"/>
          <w:b/>
          <w:sz w:val="32"/>
          <w:szCs w:val="32"/>
        </w:rPr>
      </w:pPr>
    </w:p>
    <w:p>
      <w:pPr>
        <w:rPr>
          <w:rFonts w:ascii="宋体" w:hAnsi="宋体"/>
          <w:b/>
          <w:sz w:val="32"/>
          <w:szCs w:val="32"/>
        </w:rPr>
      </w:pPr>
    </w:p>
    <w:p>
      <w:pPr>
        <w:rPr>
          <w:rFonts w:ascii="宋体" w:hAnsi="宋体"/>
          <w:b/>
          <w:sz w:val="32"/>
          <w:szCs w:val="32"/>
        </w:rPr>
      </w:pPr>
    </w:p>
    <w:p>
      <w:pPr>
        <w:rPr>
          <w:rFonts w:ascii="宋体" w:hAnsi="宋体"/>
          <w:b/>
          <w:sz w:val="32"/>
          <w:szCs w:val="32"/>
        </w:rPr>
      </w:pPr>
    </w:p>
    <w:p>
      <w:pPr>
        <w:rPr>
          <w:rFonts w:ascii="宋体" w:hAnsi="宋体"/>
          <w:b/>
          <w:sz w:val="32"/>
          <w:szCs w:val="32"/>
        </w:rPr>
      </w:pPr>
      <w:r>
        <w:rPr>
          <w:rFonts w:hint="eastAsia" w:ascii="宋体" w:hAnsi="宋体"/>
          <w:b/>
          <w:sz w:val="32"/>
          <w:szCs w:val="32"/>
        </w:rPr>
        <w:t>另附每期供货单：</w:t>
      </w:r>
    </w:p>
    <w:p>
      <w:pPr>
        <w:spacing w:line="420" w:lineRule="exact"/>
        <w:jc w:val="center"/>
        <w:rPr>
          <w:sz w:val="24"/>
          <w:szCs w:val="24"/>
        </w:rPr>
      </w:pPr>
      <w:r>
        <w:rPr>
          <w:rFonts w:hint="eastAsia"/>
          <w:sz w:val="24"/>
          <w:szCs w:val="24"/>
        </w:rPr>
        <w:t>报价邀请函</w:t>
      </w:r>
    </w:p>
    <w:p>
      <w:pPr>
        <w:spacing w:line="420" w:lineRule="exact"/>
        <w:rPr>
          <w:sz w:val="24"/>
          <w:szCs w:val="24"/>
        </w:rPr>
      </w:pPr>
      <w:r>
        <w:rPr>
          <w:rFonts w:hint="eastAsia"/>
          <w:sz w:val="24"/>
          <w:szCs w:val="24"/>
        </w:rPr>
        <w:t>致：</w:t>
      </w:r>
    </w:p>
    <w:p>
      <w:pPr>
        <w:spacing w:line="420" w:lineRule="exact"/>
        <w:ind w:firstLine="480" w:firstLineChars="200"/>
        <w:rPr>
          <w:sz w:val="24"/>
          <w:szCs w:val="24"/>
        </w:rPr>
      </w:pPr>
      <w:r>
        <w:rPr>
          <w:rFonts w:hint="eastAsia"/>
          <w:sz w:val="24"/>
          <w:szCs w:val="24"/>
        </w:rPr>
        <w:t>根据广东石油化工学院学生食堂大米、面粉及食用油采购项目（采购编号： MMC2016A023T）招标文件要求，以及采购人的实际使用需要，我们将进行第轮协议供货报价。请你单位根据采购人的最高限价作出实际优惠报价，我们将根据投标人的实际报价按质优价低的原则确定下一轮的协议供货单位。特此通知。</w:t>
      </w:r>
    </w:p>
    <w:p>
      <w:pPr>
        <w:spacing w:line="420" w:lineRule="exact"/>
        <w:ind w:firstLine="480" w:firstLineChars="200"/>
        <w:rPr>
          <w:sz w:val="24"/>
          <w:szCs w:val="24"/>
        </w:rPr>
      </w:pPr>
      <w:r>
        <w:rPr>
          <w:rFonts w:hint="eastAsia"/>
          <w:sz w:val="24"/>
          <w:szCs w:val="24"/>
        </w:rPr>
        <w:t>递交报价函的最后截止时间：</w:t>
      </w:r>
      <w:r>
        <w:rPr>
          <w:rFonts w:hint="eastAsia"/>
          <w:sz w:val="24"/>
          <w:szCs w:val="24"/>
          <w:u w:val="single"/>
        </w:rPr>
        <w:t xml:space="preserve"> 2016年   月  日   时   分</w:t>
      </w:r>
    </w:p>
    <w:p>
      <w:pPr>
        <w:spacing w:line="420" w:lineRule="exact"/>
        <w:jc w:val="right"/>
        <w:rPr>
          <w:sz w:val="24"/>
          <w:szCs w:val="24"/>
        </w:rPr>
      </w:pPr>
    </w:p>
    <w:p>
      <w:pPr>
        <w:spacing w:line="420" w:lineRule="exact"/>
        <w:jc w:val="right"/>
        <w:rPr>
          <w:sz w:val="24"/>
          <w:szCs w:val="24"/>
        </w:rPr>
      </w:pPr>
      <w:r>
        <w:rPr>
          <w:rFonts w:hint="eastAsia"/>
          <w:sz w:val="24"/>
          <w:szCs w:val="24"/>
        </w:rPr>
        <w:t>广东石油化工学院后勤服务与管理处</w:t>
      </w:r>
    </w:p>
    <w:p>
      <w:pPr>
        <w:spacing w:line="420" w:lineRule="exact"/>
        <w:jc w:val="right"/>
        <w:rPr>
          <w:sz w:val="24"/>
          <w:szCs w:val="24"/>
        </w:rPr>
      </w:pPr>
      <w:r>
        <w:rPr>
          <w:rFonts w:hint="eastAsia"/>
          <w:sz w:val="24"/>
          <w:szCs w:val="24"/>
        </w:rPr>
        <w:t>2016年  月  日</w:t>
      </w:r>
    </w:p>
    <w:p>
      <w:pPr>
        <w:spacing w:line="420" w:lineRule="exact"/>
        <w:jc w:val="right"/>
        <w:rPr>
          <w:sz w:val="24"/>
          <w:szCs w:val="24"/>
        </w:rPr>
      </w:pPr>
    </w:p>
    <w:p>
      <w:pPr>
        <w:jc w:val="center"/>
        <w:rPr>
          <w:sz w:val="24"/>
          <w:szCs w:val="24"/>
        </w:rPr>
      </w:pPr>
      <w:r>
        <w:rPr>
          <w:rFonts w:hint="eastAsia"/>
          <w:sz w:val="24"/>
          <w:szCs w:val="24"/>
        </w:rPr>
        <w:br w:type="page"/>
      </w:r>
      <w:r>
        <w:rPr>
          <w:rFonts w:hint="eastAsia"/>
          <w:sz w:val="24"/>
          <w:szCs w:val="24"/>
        </w:rPr>
        <w:t>报 价 函</w:t>
      </w:r>
    </w:p>
    <w:p>
      <w:pPr>
        <w:spacing w:line="360" w:lineRule="exact"/>
        <w:ind w:left="-540" w:leftChars="-257" w:right="-512" w:rightChars="-244"/>
        <w:rPr>
          <w:sz w:val="24"/>
          <w:szCs w:val="24"/>
        </w:rPr>
      </w:pPr>
      <w:r>
        <w:rPr>
          <w:rFonts w:hint="eastAsia"/>
          <w:sz w:val="24"/>
          <w:szCs w:val="24"/>
        </w:rPr>
        <w:t>致：广东石油化工学院后勤服务与管理处</w:t>
      </w:r>
    </w:p>
    <w:p>
      <w:pPr>
        <w:spacing w:line="360" w:lineRule="exact"/>
        <w:ind w:left="-540" w:leftChars="-257" w:right="-512" w:rightChars="-244" w:firstLine="540" w:firstLineChars="225"/>
        <w:rPr>
          <w:sz w:val="24"/>
          <w:szCs w:val="24"/>
        </w:rPr>
      </w:pPr>
      <w:r>
        <w:rPr>
          <w:rFonts w:hint="eastAsia"/>
          <w:sz w:val="24"/>
          <w:szCs w:val="24"/>
        </w:rPr>
        <w:t>根据广东石油化工学院学生食堂大米、面粉及食用油采购项目（采购编号： MMC2016A023T）招标文件要求，现对以下产品进行报价。</w:t>
      </w:r>
    </w:p>
    <w:tbl>
      <w:tblPr>
        <w:tblStyle w:val="9"/>
        <w:tblW w:w="105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232"/>
        <w:gridCol w:w="4020"/>
        <w:gridCol w:w="872"/>
        <w:gridCol w:w="1211"/>
        <w:gridCol w:w="1245"/>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9" w:type="dxa"/>
            <w:vAlign w:val="center"/>
          </w:tcPr>
          <w:p>
            <w:pPr>
              <w:spacing w:line="240" w:lineRule="exact"/>
              <w:ind w:firstLine="420"/>
              <w:jc w:val="center"/>
              <w:rPr>
                <w:rFonts w:ascii="Times New Roman" w:hAnsi="Times New Roman"/>
                <w:kern w:val="0"/>
                <w:sz w:val="20"/>
                <w:szCs w:val="21"/>
              </w:rPr>
            </w:pPr>
            <w:r>
              <w:rPr>
                <w:rFonts w:hint="eastAsia" w:ascii="Times New Roman" w:hAnsi="Times New Roman"/>
                <w:kern w:val="0"/>
                <w:sz w:val="20"/>
                <w:szCs w:val="21"/>
              </w:rPr>
              <w:t>序号</w:t>
            </w:r>
          </w:p>
        </w:tc>
        <w:tc>
          <w:tcPr>
            <w:tcW w:w="1232" w:type="dxa"/>
            <w:vAlign w:val="center"/>
          </w:tcPr>
          <w:p>
            <w:pPr>
              <w:spacing w:line="240" w:lineRule="exact"/>
              <w:ind w:firstLine="420"/>
              <w:jc w:val="center"/>
              <w:rPr>
                <w:rFonts w:ascii="Times New Roman" w:hAnsi="Times New Roman"/>
                <w:kern w:val="0"/>
                <w:sz w:val="20"/>
                <w:szCs w:val="21"/>
              </w:rPr>
            </w:pPr>
            <w:r>
              <w:rPr>
                <w:rFonts w:hint="eastAsia" w:ascii="Times New Roman" w:hAnsi="Times New Roman"/>
                <w:kern w:val="0"/>
                <w:sz w:val="20"/>
                <w:szCs w:val="21"/>
              </w:rPr>
              <w:t>项目名称</w:t>
            </w:r>
          </w:p>
        </w:tc>
        <w:tc>
          <w:tcPr>
            <w:tcW w:w="4020" w:type="dxa"/>
            <w:vAlign w:val="center"/>
          </w:tcPr>
          <w:p>
            <w:pPr>
              <w:spacing w:line="240" w:lineRule="exact"/>
              <w:ind w:firstLine="420"/>
              <w:jc w:val="center"/>
              <w:rPr>
                <w:rFonts w:ascii="Times New Roman" w:hAnsi="Times New Roman"/>
                <w:kern w:val="0"/>
                <w:sz w:val="20"/>
                <w:szCs w:val="21"/>
              </w:rPr>
            </w:pPr>
            <w:r>
              <w:rPr>
                <w:rFonts w:hint="eastAsia" w:ascii="Times New Roman" w:hAnsi="Times New Roman"/>
                <w:kern w:val="0"/>
                <w:sz w:val="20"/>
                <w:szCs w:val="21"/>
              </w:rPr>
              <w:t>技术、规格、质量及包装标准</w:t>
            </w:r>
          </w:p>
        </w:tc>
        <w:tc>
          <w:tcPr>
            <w:tcW w:w="872" w:type="dxa"/>
            <w:vAlign w:val="center"/>
          </w:tcPr>
          <w:p>
            <w:pPr>
              <w:spacing w:line="240" w:lineRule="exact"/>
              <w:jc w:val="center"/>
              <w:rPr>
                <w:rFonts w:ascii="Times New Roman" w:hAnsi="Times New Roman"/>
                <w:kern w:val="0"/>
                <w:sz w:val="20"/>
                <w:szCs w:val="21"/>
              </w:rPr>
            </w:pPr>
            <w:r>
              <w:rPr>
                <w:rFonts w:hint="eastAsia" w:ascii="Times New Roman" w:hAnsi="Times New Roman"/>
                <w:kern w:val="0"/>
                <w:sz w:val="20"/>
                <w:szCs w:val="21"/>
              </w:rPr>
              <w:t>包装</w:t>
            </w:r>
          </w:p>
          <w:p>
            <w:pPr>
              <w:spacing w:line="240" w:lineRule="exact"/>
              <w:jc w:val="center"/>
              <w:rPr>
                <w:rFonts w:ascii="Times New Roman" w:hAnsi="Times New Roman"/>
                <w:kern w:val="0"/>
                <w:sz w:val="20"/>
                <w:szCs w:val="21"/>
              </w:rPr>
            </w:pPr>
            <w:r>
              <w:rPr>
                <w:rFonts w:hint="eastAsia" w:ascii="Times New Roman" w:hAnsi="Times New Roman"/>
                <w:kern w:val="0"/>
                <w:sz w:val="20"/>
                <w:szCs w:val="21"/>
              </w:rPr>
              <w:t>规格</w:t>
            </w:r>
          </w:p>
        </w:tc>
        <w:tc>
          <w:tcPr>
            <w:tcW w:w="1211" w:type="dxa"/>
            <w:vAlign w:val="center"/>
          </w:tcPr>
          <w:p>
            <w:pPr>
              <w:spacing w:line="240" w:lineRule="exact"/>
              <w:rPr>
                <w:rFonts w:ascii="Times New Roman" w:hAnsi="Times New Roman"/>
                <w:kern w:val="0"/>
                <w:sz w:val="20"/>
                <w:szCs w:val="21"/>
              </w:rPr>
            </w:pPr>
            <w:r>
              <w:rPr>
                <w:rFonts w:hint="eastAsia" w:ascii="Times New Roman" w:hAnsi="Times New Roman"/>
                <w:kern w:val="0"/>
                <w:sz w:val="20"/>
                <w:szCs w:val="21"/>
              </w:rPr>
              <w:t>最高限价（含税，含运费）</w:t>
            </w:r>
          </w:p>
        </w:tc>
        <w:tc>
          <w:tcPr>
            <w:tcW w:w="1245" w:type="dxa"/>
            <w:vAlign w:val="center"/>
          </w:tcPr>
          <w:p>
            <w:pPr>
              <w:spacing w:line="240" w:lineRule="exact"/>
              <w:rPr>
                <w:rFonts w:ascii="Times New Roman" w:hAnsi="Times New Roman"/>
                <w:kern w:val="0"/>
                <w:sz w:val="20"/>
                <w:szCs w:val="21"/>
              </w:rPr>
            </w:pPr>
            <w:r>
              <w:rPr>
                <w:rFonts w:hint="eastAsia" w:ascii="Times New Roman" w:hAnsi="Times New Roman"/>
                <w:kern w:val="0"/>
                <w:sz w:val="20"/>
                <w:szCs w:val="21"/>
              </w:rPr>
              <w:t xml:space="preserve"> 实际报价</w:t>
            </w:r>
          </w:p>
        </w:tc>
        <w:tc>
          <w:tcPr>
            <w:tcW w:w="1226" w:type="dxa"/>
            <w:vAlign w:val="center"/>
          </w:tcPr>
          <w:p>
            <w:pPr>
              <w:spacing w:line="240" w:lineRule="exact"/>
              <w:ind w:firstLine="420"/>
              <w:jc w:val="center"/>
              <w:rPr>
                <w:rFonts w:ascii="Times New Roman" w:hAnsi="Times New Roman"/>
                <w:kern w:val="0"/>
                <w:sz w:val="20"/>
                <w:szCs w:val="21"/>
              </w:rPr>
            </w:pPr>
            <w:r>
              <w:rPr>
                <w:rFonts w:hint="eastAsia" w:ascii="Times New Roman" w:hAnsi="Times New Roman"/>
                <w:kern w:val="0"/>
                <w:sz w:val="2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9" w:type="dxa"/>
            <w:vAlign w:val="center"/>
          </w:tcPr>
          <w:p>
            <w:pPr>
              <w:spacing w:line="240" w:lineRule="exact"/>
              <w:rPr>
                <w:rFonts w:ascii="Times New Roman" w:hAnsi="Times New Roman"/>
                <w:kern w:val="0"/>
                <w:sz w:val="20"/>
                <w:szCs w:val="21"/>
              </w:rPr>
            </w:pPr>
            <w:r>
              <w:rPr>
                <w:rFonts w:hint="eastAsia" w:ascii="Times New Roman" w:hAnsi="Times New Roman"/>
                <w:kern w:val="0"/>
                <w:sz w:val="20"/>
                <w:szCs w:val="21"/>
              </w:rPr>
              <w:t xml:space="preserve">   1</w:t>
            </w:r>
          </w:p>
        </w:tc>
        <w:tc>
          <w:tcPr>
            <w:tcW w:w="1232" w:type="dxa"/>
            <w:vAlign w:val="center"/>
          </w:tcPr>
          <w:p>
            <w:pPr>
              <w:spacing w:line="240" w:lineRule="exact"/>
              <w:ind w:firstLine="420"/>
              <w:jc w:val="center"/>
              <w:rPr>
                <w:rFonts w:ascii="Times New Roman" w:hAnsi="Times New Roman"/>
                <w:kern w:val="0"/>
                <w:sz w:val="20"/>
                <w:szCs w:val="21"/>
              </w:rPr>
            </w:pPr>
            <w:r>
              <w:rPr>
                <w:rFonts w:hint="eastAsia" w:ascii="Times New Roman" w:hAnsi="Times New Roman"/>
                <w:kern w:val="0"/>
                <w:sz w:val="20"/>
                <w:szCs w:val="21"/>
              </w:rPr>
              <w:t>学生大米</w:t>
            </w:r>
          </w:p>
        </w:tc>
        <w:tc>
          <w:tcPr>
            <w:tcW w:w="4020" w:type="dxa"/>
            <w:vAlign w:val="center"/>
          </w:tcPr>
          <w:p>
            <w:pPr>
              <w:spacing w:line="240" w:lineRule="exact"/>
              <w:ind w:firstLine="420"/>
              <w:jc w:val="left"/>
              <w:rPr>
                <w:rFonts w:ascii="Times New Roman" w:hAnsi="Times New Roman"/>
                <w:kern w:val="0"/>
                <w:sz w:val="20"/>
                <w:szCs w:val="21"/>
              </w:rPr>
            </w:pPr>
            <w:r>
              <w:rPr>
                <w:rFonts w:hint="eastAsia" w:ascii="Times New Roman" w:hAnsi="Times New Roman"/>
                <w:kern w:val="0"/>
                <w:sz w:val="20"/>
                <w:szCs w:val="21"/>
              </w:rPr>
              <w:t>1、大米须达国家GB1354-2009大米标准二级标准，水分含量在</w:t>
            </w:r>
            <w:r>
              <w:rPr>
                <w:rFonts w:ascii="Times New Roman" w:hAnsi="Times New Roman"/>
                <w:kern w:val="0"/>
                <w:sz w:val="20"/>
                <w:szCs w:val="21"/>
              </w:rPr>
              <w:t>12</w:t>
            </w:r>
            <w:r>
              <w:rPr>
                <w:rFonts w:hint="eastAsia" w:ascii="Times New Roman" w:hAnsi="Times New Roman"/>
                <w:kern w:val="0"/>
                <w:sz w:val="20"/>
                <w:szCs w:val="21"/>
              </w:rPr>
              <w:t>°以下，无掺杂、无沙石，碎米少，无黄粒米；</w:t>
            </w:r>
          </w:p>
          <w:p>
            <w:pPr>
              <w:spacing w:line="240" w:lineRule="exact"/>
              <w:ind w:firstLine="420"/>
              <w:jc w:val="left"/>
              <w:rPr>
                <w:rFonts w:ascii="Times New Roman" w:hAnsi="Times New Roman"/>
                <w:kern w:val="0"/>
                <w:sz w:val="20"/>
                <w:szCs w:val="21"/>
              </w:rPr>
            </w:pPr>
            <w:r>
              <w:rPr>
                <w:rFonts w:hint="eastAsia" w:ascii="Times New Roman" w:hAnsi="Times New Roman"/>
                <w:kern w:val="0"/>
                <w:sz w:val="20"/>
                <w:szCs w:val="21"/>
              </w:rPr>
              <w:t>2、大米包装袋上印有大米品名、等级、数量、出厂名、厂家地址及其电话。</w:t>
            </w:r>
          </w:p>
        </w:tc>
        <w:tc>
          <w:tcPr>
            <w:tcW w:w="872" w:type="dxa"/>
            <w:vAlign w:val="center"/>
          </w:tcPr>
          <w:p>
            <w:pPr>
              <w:spacing w:line="240" w:lineRule="exact"/>
              <w:rPr>
                <w:rFonts w:ascii="Times New Roman" w:hAnsi="Times New Roman"/>
                <w:kern w:val="0"/>
                <w:sz w:val="20"/>
                <w:szCs w:val="21"/>
              </w:rPr>
            </w:pPr>
            <w:r>
              <w:rPr>
                <w:rFonts w:hint="eastAsia" w:ascii="Times New Roman" w:hAnsi="Times New Roman"/>
                <w:kern w:val="0"/>
                <w:sz w:val="20"/>
                <w:szCs w:val="21"/>
              </w:rPr>
              <w:t>25公斤/袋</w:t>
            </w:r>
          </w:p>
        </w:tc>
        <w:tc>
          <w:tcPr>
            <w:tcW w:w="1211" w:type="dxa"/>
            <w:vAlign w:val="center"/>
          </w:tcPr>
          <w:p>
            <w:pPr>
              <w:spacing w:line="240" w:lineRule="exact"/>
              <w:ind w:firstLine="420"/>
              <w:jc w:val="center"/>
              <w:rPr>
                <w:rFonts w:ascii="Times New Roman" w:hAnsi="Times New Roman"/>
                <w:kern w:val="0"/>
                <w:sz w:val="20"/>
                <w:szCs w:val="21"/>
              </w:rPr>
            </w:pPr>
            <w:r>
              <w:rPr>
                <w:rFonts w:hint="eastAsia" w:ascii="Times New Roman" w:hAnsi="Times New Roman"/>
                <w:kern w:val="0"/>
                <w:sz w:val="20"/>
                <w:szCs w:val="21"/>
              </w:rPr>
              <w:t>###元/公斤</w:t>
            </w:r>
          </w:p>
        </w:tc>
        <w:tc>
          <w:tcPr>
            <w:tcW w:w="1245" w:type="dxa"/>
            <w:vAlign w:val="center"/>
          </w:tcPr>
          <w:p>
            <w:pPr>
              <w:spacing w:line="240" w:lineRule="exact"/>
              <w:ind w:firstLine="420"/>
              <w:jc w:val="center"/>
              <w:rPr>
                <w:rFonts w:ascii="Times New Roman" w:hAnsi="Times New Roman"/>
                <w:kern w:val="0"/>
                <w:sz w:val="20"/>
                <w:szCs w:val="21"/>
              </w:rPr>
            </w:pPr>
          </w:p>
        </w:tc>
        <w:tc>
          <w:tcPr>
            <w:tcW w:w="1226" w:type="dxa"/>
            <w:vAlign w:val="center"/>
          </w:tcPr>
          <w:p>
            <w:pPr>
              <w:spacing w:line="240" w:lineRule="exact"/>
              <w:ind w:firstLine="420"/>
              <w:jc w:val="center"/>
              <w:rPr>
                <w:rFonts w:ascii="Times New Roman" w:hAnsi="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9" w:type="dxa"/>
            <w:vAlign w:val="center"/>
          </w:tcPr>
          <w:p>
            <w:pPr>
              <w:spacing w:line="240" w:lineRule="exact"/>
              <w:rPr>
                <w:rFonts w:ascii="Times New Roman" w:hAnsi="Times New Roman"/>
                <w:kern w:val="0"/>
                <w:sz w:val="20"/>
                <w:szCs w:val="21"/>
              </w:rPr>
            </w:pPr>
            <w:r>
              <w:rPr>
                <w:rFonts w:hint="eastAsia" w:ascii="Times New Roman" w:hAnsi="Times New Roman"/>
                <w:kern w:val="0"/>
                <w:sz w:val="20"/>
                <w:szCs w:val="21"/>
              </w:rPr>
              <w:t xml:space="preserve">   2</w:t>
            </w:r>
          </w:p>
        </w:tc>
        <w:tc>
          <w:tcPr>
            <w:tcW w:w="1232" w:type="dxa"/>
            <w:vAlign w:val="center"/>
          </w:tcPr>
          <w:p>
            <w:pPr>
              <w:spacing w:line="240" w:lineRule="exact"/>
              <w:ind w:firstLine="420"/>
              <w:jc w:val="center"/>
              <w:rPr>
                <w:rFonts w:ascii="Times New Roman" w:hAnsi="Times New Roman"/>
                <w:kern w:val="0"/>
                <w:sz w:val="20"/>
                <w:szCs w:val="21"/>
              </w:rPr>
            </w:pPr>
            <w:r>
              <w:rPr>
                <w:rFonts w:hint="eastAsia" w:ascii="Times New Roman" w:hAnsi="Times New Roman"/>
                <w:kern w:val="0"/>
                <w:sz w:val="20"/>
                <w:szCs w:val="21"/>
              </w:rPr>
              <w:t>优质米</w:t>
            </w:r>
          </w:p>
        </w:tc>
        <w:tc>
          <w:tcPr>
            <w:tcW w:w="4020" w:type="dxa"/>
            <w:vAlign w:val="center"/>
          </w:tcPr>
          <w:p>
            <w:pPr>
              <w:spacing w:line="240" w:lineRule="exact"/>
              <w:ind w:firstLine="420"/>
              <w:rPr>
                <w:rFonts w:ascii="Times New Roman" w:hAnsi="Times New Roman"/>
                <w:kern w:val="0"/>
                <w:sz w:val="20"/>
                <w:szCs w:val="21"/>
              </w:rPr>
            </w:pPr>
            <w:r>
              <w:rPr>
                <w:rFonts w:hint="eastAsia" w:ascii="Times New Roman" w:hAnsi="Times New Roman"/>
                <w:kern w:val="0"/>
                <w:sz w:val="20"/>
                <w:szCs w:val="21"/>
              </w:rPr>
              <w:t>1、特级大米</w:t>
            </w:r>
          </w:p>
          <w:p>
            <w:pPr>
              <w:spacing w:line="240" w:lineRule="exact"/>
              <w:ind w:firstLine="420"/>
              <w:rPr>
                <w:rFonts w:ascii="Times New Roman" w:hAnsi="Times New Roman"/>
                <w:kern w:val="0"/>
                <w:sz w:val="20"/>
                <w:szCs w:val="21"/>
              </w:rPr>
            </w:pPr>
            <w:r>
              <w:rPr>
                <w:rFonts w:hint="eastAsia" w:ascii="Times New Roman" w:hAnsi="Times New Roman"/>
                <w:kern w:val="0"/>
                <w:sz w:val="20"/>
                <w:szCs w:val="21"/>
              </w:rPr>
              <w:t>2、大米须达国家GB1354-2009优质大米c二级标准，水分含量在</w:t>
            </w:r>
            <w:r>
              <w:rPr>
                <w:rFonts w:ascii="Times New Roman" w:hAnsi="Times New Roman"/>
                <w:kern w:val="0"/>
                <w:sz w:val="20"/>
                <w:szCs w:val="21"/>
              </w:rPr>
              <w:t>12</w:t>
            </w:r>
            <w:r>
              <w:rPr>
                <w:rFonts w:hint="eastAsia" w:ascii="Times New Roman" w:hAnsi="Times New Roman"/>
                <w:kern w:val="0"/>
                <w:sz w:val="20"/>
                <w:szCs w:val="21"/>
              </w:rPr>
              <w:t>°以下，无掺杂、无沙石，无黄粒米；</w:t>
            </w:r>
          </w:p>
          <w:p>
            <w:pPr>
              <w:spacing w:line="240" w:lineRule="exact"/>
              <w:ind w:firstLine="420"/>
              <w:rPr>
                <w:rFonts w:ascii="Times New Roman" w:hAnsi="Times New Roman"/>
                <w:kern w:val="0"/>
                <w:sz w:val="20"/>
                <w:szCs w:val="21"/>
              </w:rPr>
            </w:pPr>
            <w:r>
              <w:rPr>
                <w:rFonts w:hint="eastAsia" w:ascii="Times New Roman" w:hAnsi="Times New Roman"/>
                <w:kern w:val="0"/>
                <w:sz w:val="20"/>
                <w:szCs w:val="21"/>
              </w:rPr>
              <w:t>3、大米包装袋上印有大米品名、等级、数量、出厂名、厂家地址及其电话。</w:t>
            </w:r>
          </w:p>
        </w:tc>
        <w:tc>
          <w:tcPr>
            <w:tcW w:w="872" w:type="dxa"/>
            <w:vAlign w:val="center"/>
          </w:tcPr>
          <w:p>
            <w:pPr>
              <w:spacing w:line="240" w:lineRule="exact"/>
              <w:rPr>
                <w:rFonts w:ascii="Times New Roman" w:hAnsi="Times New Roman"/>
                <w:kern w:val="0"/>
                <w:sz w:val="20"/>
                <w:szCs w:val="21"/>
              </w:rPr>
            </w:pPr>
            <w:r>
              <w:rPr>
                <w:rFonts w:hint="eastAsia" w:ascii="Times New Roman" w:hAnsi="Times New Roman"/>
                <w:kern w:val="0"/>
                <w:sz w:val="20"/>
                <w:szCs w:val="21"/>
              </w:rPr>
              <w:t>15公斤/袋</w:t>
            </w:r>
          </w:p>
        </w:tc>
        <w:tc>
          <w:tcPr>
            <w:tcW w:w="1211" w:type="dxa"/>
            <w:vAlign w:val="center"/>
          </w:tcPr>
          <w:p>
            <w:pPr>
              <w:spacing w:line="240" w:lineRule="exact"/>
              <w:ind w:firstLine="420"/>
              <w:jc w:val="center"/>
              <w:rPr>
                <w:rFonts w:ascii="Times New Roman" w:hAnsi="Times New Roman"/>
                <w:kern w:val="0"/>
                <w:sz w:val="20"/>
                <w:szCs w:val="21"/>
              </w:rPr>
            </w:pPr>
            <w:r>
              <w:rPr>
                <w:rFonts w:hint="eastAsia" w:ascii="Times New Roman" w:hAnsi="Times New Roman"/>
                <w:kern w:val="0"/>
                <w:sz w:val="20"/>
                <w:szCs w:val="21"/>
              </w:rPr>
              <w:t>###元/公斤</w:t>
            </w:r>
          </w:p>
        </w:tc>
        <w:tc>
          <w:tcPr>
            <w:tcW w:w="1245" w:type="dxa"/>
            <w:vAlign w:val="center"/>
          </w:tcPr>
          <w:p>
            <w:pPr>
              <w:spacing w:line="240" w:lineRule="exact"/>
              <w:ind w:firstLine="420"/>
              <w:jc w:val="center"/>
              <w:rPr>
                <w:rFonts w:ascii="Times New Roman" w:hAnsi="Times New Roman"/>
                <w:kern w:val="0"/>
                <w:sz w:val="20"/>
                <w:szCs w:val="21"/>
              </w:rPr>
            </w:pPr>
          </w:p>
        </w:tc>
        <w:tc>
          <w:tcPr>
            <w:tcW w:w="1226" w:type="dxa"/>
            <w:vAlign w:val="center"/>
          </w:tcPr>
          <w:p>
            <w:pPr>
              <w:spacing w:line="240" w:lineRule="exact"/>
              <w:ind w:firstLine="420"/>
              <w:jc w:val="center"/>
              <w:rPr>
                <w:rFonts w:ascii="Times New Roman" w:hAnsi="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779" w:type="dxa"/>
            <w:vAlign w:val="center"/>
          </w:tcPr>
          <w:p>
            <w:pPr>
              <w:spacing w:line="240" w:lineRule="exact"/>
              <w:rPr>
                <w:rFonts w:ascii="Times New Roman" w:hAnsi="Times New Roman"/>
                <w:kern w:val="0"/>
                <w:sz w:val="20"/>
                <w:szCs w:val="21"/>
              </w:rPr>
            </w:pPr>
            <w:r>
              <w:rPr>
                <w:rFonts w:hint="eastAsia" w:ascii="Times New Roman" w:hAnsi="Times New Roman"/>
                <w:kern w:val="0"/>
                <w:sz w:val="20"/>
                <w:szCs w:val="21"/>
              </w:rPr>
              <w:t xml:space="preserve">   3</w:t>
            </w:r>
          </w:p>
        </w:tc>
        <w:tc>
          <w:tcPr>
            <w:tcW w:w="1232" w:type="dxa"/>
            <w:vAlign w:val="center"/>
          </w:tcPr>
          <w:p>
            <w:pPr>
              <w:widowControl/>
              <w:spacing w:line="240" w:lineRule="exact"/>
              <w:ind w:firstLine="420"/>
              <w:jc w:val="center"/>
              <w:rPr>
                <w:rFonts w:ascii="Times New Roman" w:hAnsi="Times New Roman"/>
                <w:kern w:val="0"/>
                <w:sz w:val="20"/>
                <w:szCs w:val="21"/>
              </w:rPr>
            </w:pPr>
            <w:r>
              <w:rPr>
                <w:rFonts w:hint="eastAsia" w:ascii="Times New Roman" w:hAnsi="Times New Roman"/>
                <w:kern w:val="0"/>
                <w:sz w:val="20"/>
                <w:szCs w:val="21"/>
              </w:rPr>
              <w:t>食用油（含纯花生油、食用棕榈油、大豆油）</w:t>
            </w:r>
          </w:p>
        </w:tc>
        <w:tc>
          <w:tcPr>
            <w:tcW w:w="4020" w:type="dxa"/>
            <w:vAlign w:val="center"/>
          </w:tcPr>
          <w:p>
            <w:pPr>
              <w:spacing w:line="240" w:lineRule="exact"/>
              <w:ind w:left="300" w:hanging="300" w:hangingChars="150"/>
              <w:rPr>
                <w:rFonts w:ascii="Times New Roman" w:hAnsi="Times New Roman"/>
                <w:kern w:val="0"/>
                <w:sz w:val="20"/>
                <w:szCs w:val="21"/>
              </w:rPr>
            </w:pPr>
            <w:r>
              <w:rPr>
                <w:rFonts w:hint="eastAsia" w:ascii="Times New Roman" w:hAnsi="Times New Roman"/>
                <w:kern w:val="0"/>
                <w:sz w:val="20"/>
                <w:szCs w:val="21"/>
              </w:rPr>
              <w:t>1、按国家食用调和油质量标准GB1535，质量等级一级；</w:t>
            </w:r>
          </w:p>
          <w:p>
            <w:pPr>
              <w:spacing w:line="240" w:lineRule="exact"/>
              <w:ind w:left="300" w:hanging="300" w:hangingChars="150"/>
              <w:rPr>
                <w:rFonts w:ascii="Times New Roman" w:hAnsi="Times New Roman"/>
                <w:kern w:val="0"/>
                <w:sz w:val="20"/>
                <w:szCs w:val="21"/>
              </w:rPr>
            </w:pPr>
            <w:r>
              <w:rPr>
                <w:rFonts w:hint="eastAsia" w:ascii="Times New Roman" w:hAnsi="Times New Roman"/>
                <w:kern w:val="0"/>
                <w:sz w:val="20"/>
                <w:szCs w:val="21"/>
              </w:rPr>
              <w:t>2、有合格检疫报告，外观的色泽、透明度、气味滋味等无异常；</w:t>
            </w:r>
          </w:p>
          <w:p>
            <w:pPr>
              <w:spacing w:line="240" w:lineRule="exact"/>
              <w:ind w:firstLine="420"/>
              <w:rPr>
                <w:rFonts w:ascii="Times New Roman" w:hAnsi="Times New Roman"/>
                <w:kern w:val="0"/>
                <w:sz w:val="20"/>
                <w:szCs w:val="21"/>
              </w:rPr>
            </w:pPr>
            <w:r>
              <w:rPr>
                <w:rFonts w:hint="eastAsia" w:ascii="Times New Roman" w:hAnsi="Times New Roman"/>
                <w:kern w:val="0"/>
                <w:sz w:val="20"/>
                <w:szCs w:val="21"/>
              </w:rPr>
              <w:t>3、定型包装。</w:t>
            </w:r>
          </w:p>
        </w:tc>
        <w:tc>
          <w:tcPr>
            <w:tcW w:w="872" w:type="dxa"/>
            <w:vAlign w:val="center"/>
          </w:tcPr>
          <w:p>
            <w:pPr>
              <w:spacing w:line="240" w:lineRule="exact"/>
              <w:rPr>
                <w:rFonts w:ascii="Times New Roman" w:hAnsi="Times New Roman"/>
                <w:kern w:val="0"/>
                <w:sz w:val="20"/>
                <w:szCs w:val="21"/>
              </w:rPr>
            </w:pPr>
            <w:r>
              <w:rPr>
                <w:rFonts w:hint="eastAsia" w:ascii="Times New Roman" w:hAnsi="Times New Roman"/>
                <w:kern w:val="0"/>
                <w:sz w:val="20"/>
                <w:szCs w:val="21"/>
              </w:rPr>
              <w:t>19.75L（18公斤/罐</w:t>
            </w:r>
          </w:p>
        </w:tc>
        <w:tc>
          <w:tcPr>
            <w:tcW w:w="1211" w:type="dxa"/>
            <w:vAlign w:val="center"/>
          </w:tcPr>
          <w:p>
            <w:pPr>
              <w:spacing w:line="240" w:lineRule="exact"/>
              <w:ind w:firstLine="420"/>
              <w:jc w:val="center"/>
              <w:rPr>
                <w:rFonts w:ascii="Times New Roman" w:hAnsi="Times New Roman"/>
                <w:kern w:val="0"/>
                <w:sz w:val="20"/>
                <w:szCs w:val="21"/>
              </w:rPr>
            </w:pPr>
            <w:r>
              <w:rPr>
                <w:rFonts w:hint="eastAsia" w:ascii="Times New Roman" w:hAnsi="Times New Roman"/>
                <w:kern w:val="0"/>
                <w:sz w:val="20"/>
                <w:szCs w:val="21"/>
              </w:rPr>
              <w:t>###元/公斤</w:t>
            </w:r>
          </w:p>
        </w:tc>
        <w:tc>
          <w:tcPr>
            <w:tcW w:w="1245" w:type="dxa"/>
            <w:vAlign w:val="center"/>
          </w:tcPr>
          <w:p>
            <w:pPr>
              <w:spacing w:line="240" w:lineRule="exact"/>
              <w:ind w:firstLine="420"/>
              <w:jc w:val="center"/>
              <w:rPr>
                <w:rFonts w:ascii="Times New Roman" w:hAnsi="Times New Roman"/>
                <w:kern w:val="0"/>
                <w:sz w:val="20"/>
                <w:szCs w:val="21"/>
              </w:rPr>
            </w:pPr>
          </w:p>
        </w:tc>
        <w:tc>
          <w:tcPr>
            <w:tcW w:w="1226" w:type="dxa"/>
            <w:vAlign w:val="center"/>
          </w:tcPr>
          <w:p>
            <w:pPr>
              <w:spacing w:line="240" w:lineRule="exact"/>
              <w:ind w:firstLine="420"/>
              <w:jc w:val="center"/>
              <w:rPr>
                <w:rFonts w:ascii="Times New Roman" w:hAnsi="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779" w:type="dxa"/>
            <w:vAlign w:val="center"/>
          </w:tcPr>
          <w:p>
            <w:pPr>
              <w:spacing w:line="240" w:lineRule="exact"/>
              <w:jc w:val="center"/>
              <w:rPr>
                <w:rFonts w:ascii="Times New Roman" w:hAnsi="Times New Roman"/>
                <w:kern w:val="0"/>
                <w:sz w:val="20"/>
                <w:szCs w:val="21"/>
              </w:rPr>
            </w:pPr>
            <w:r>
              <w:rPr>
                <w:rFonts w:hint="eastAsia" w:ascii="Times New Roman" w:hAnsi="Times New Roman"/>
                <w:kern w:val="0"/>
                <w:sz w:val="20"/>
                <w:szCs w:val="21"/>
              </w:rPr>
              <w:t>4</w:t>
            </w:r>
          </w:p>
        </w:tc>
        <w:tc>
          <w:tcPr>
            <w:tcW w:w="1232" w:type="dxa"/>
            <w:vAlign w:val="center"/>
          </w:tcPr>
          <w:p>
            <w:pPr>
              <w:widowControl/>
              <w:spacing w:line="240" w:lineRule="exact"/>
              <w:ind w:firstLine="420"/>
              <w:jc w:val="center"/>
              <w:rPr>
                <w:rFonts w:ascii="Times New Roman" w:hAnsi="Times New Roman"/>
                <w:kern w:val="0"/>
                <w:sz w:val="20"/>
                <w:szCs w:val="21"/>
              </w:rPr>
            </w:pPr>
            <w:r>
              <w:rPr>
                <w:rFonts w:hint="eastAsia" w:ascii="Times New Roman" w:hAnsi="Times New Roman"/>
                <w:kern w:val="0"/>
                <w:sz w:val="20"/>
                <w:szCs w:val="21"/>
              </w:rPr>
              <w:t>高筋面粉</w:t>
            </w:r>
          </w:p>
        </w:tc>
        <w:tc>
          <w:tcPr>
            <w:tcW w:w="4020" w:type="dxa"/>
            <w:vAlign w:val="center"/>
          </w:tcPr>
          <w:p>
            <w:pPr>
              <w:numPr>
                <w:ilvl w:val="0"/>
                <w:numId w:val="1"/>
              </w:numPr>
              <w:spacing w:line="240" w:lineRule="exact"/>
              <w:rPr>
                <w:rFonts w:ascii="Times New Roman" w:hAnsi="Times New Roman"/>
                <w:kern w:val="0"/>
                <w:sz w:val="20"/>
                <w:szCs w:val="21"/>
              </w:rPr>
            </w:pPr>
            <w:r>
              <w:rPr>
                <w:rFonts w:hint="eastAsia" w:ascii="Times New Roman" w:hAnsi="Times New Roman"/>
                <w:kern w:val="0"/>
                <w:sz w:val="20"/>
                <w:szCs w:val="21"/>
              </w:rPr>
              <w:t>高筋面粉达GB8607国家标准，质量等级一级；</w:t>
            </w:r>
          </w:p>
          <w:p>
            <w:pPr>
              <w:spacing w:line="240" w:lineRule="exact"/>
              <w:ind w:firstLine="420"/>
              <w:rPr>
                <w:rFonts w:ascii="Times New Roman" w:hAnsi="Times New Roman"/>
                <w:kern w:val="0"/>
                <w:sz w:val="20"/>
                <w:szCs w:val="21"/>
              </w:rPr>
            </w:pPr>
            <w:r>
              <w:rPr>
                <w:rFonts w:hint="eastAsia" w:ascii="Times New Roman" w:hAnsi="Times New Roman"/>
                <w:kern w:val="0"/>
                <w:sz w:val="20"/>
                <w:szCs w:val="21"/>
              </w:rPr>
              <w:t>2、色泽正常，干爽无异味；</w:t>
            </w:r>
          </w:p>
          <w:p>
            <w:pPr>
              <w:spacing w:line="240" w:lineRule="exact"/>
              <w:ind w:left="300" w:hanging="300" w:hangingChars="150"/>
              <w:rPr>
                <w:rFonts w:ascii="Times New Roman" w:hAnsi="Times New Roman"/>
                <w:kern w:val="0"/>
                <w:sz w:val="20"/>
                <w:szCs w:val="21"/>
              </w:rPr>
            </w:pPr>
            <w:r>
              <w:rPr>
                <w:rFonts w:hint="eastAsia" w:ascii="Times New Roman" w:hAnsi="Times New Roman"/>
                <w:kern w:val="0"/>
                <w:sz w:val="20"/>
                <w:szCs w:val="21"/>
              </w:rPr>
              <w:t>3、按进货量抽查20％，数量按抽查验收实数为准；</w:t>
            </w:r>
          </w:p>
          <w:p>
            <w:pPr>
              <w:spacing w:line="240" w:lineRule="exact"/>
              <w:ind w:firstLine="420"/>
              <w:jc w:val="center"/>
              <w:rPr>
                <w:rFonts w:ascii="Times New Roman" w:hAnsi="Times New Roman"/>
                <w:kern w:val="0"/>
                <w:sz w:val="20"/>
                <w:szCs w:val="21"/>
              </w:rPr>
            </w:pPr>
            <w:r>
              <w:rPr>
                <w:rFonts w:hint="eastAsia" w:ascii="Times New Roman" w:hAnsi="Times New Roman"/>
                <w:kern w:val="0"/>
                <w:sz w:val="20"/>
                <w:szCs w:val="21"/>
              </w:rPr>
              <w:t>包装袋上有注册商标及QS标注，有检验合格证、生产日期和保质期。</w:t>
            </w:r>
          </w:p>
        </w:tc>
        <w:tc>
          <w:tcPr>
            <w:tcW w:w="872" w:type="dxa"/>
            <w:vAlign w:val="center"/>
          </w:tcPr>
          <w:p>
            <w:pPr>
              <w:spacing w:line="240" w:lineRule="exact"/>
              <w:rPr>
                <w:rFonts w:ascii="Times New Roman" w:hAnsi="Times New Roman"/>
                <w:kern w:val="0"/>
                <w:sz w:val="20"/>
                <w:szCs w:val="21"/>
              </w:rPr>
            </w:pPr>
            <w:r>
              <w:rPr>
                <w:rFonts w:hint="eastAsia" w:ascii="Times New Roman" w:hAnsi="Times New Roman"/>
                <w:kern w:val="0"/>
                <w:sz w:val="20"/>
                <w:szCs w:val="21"/>
              </w:rPr>
              <w:t>25公斤/包</w:t>
            </w:r>
          </w:p>
        </w:tc>
        <w:tc>
          <w:tcPr>
            <w:tcW w:w="1211" w:type="dxa"/>
            <w:vAlign w:val="center"/>
          </w:tcPr>
          <w:p>
            <w:pPr>
              <w:spacing w:line="240" w:lineRule="exact"/>
              <w:ind w:firstLine="420"/>
              <w:jc w:val="center"/>
              <w:rPr>
                <w:rFonts w:ascii="Times New Roman" w:hAnsi="Times New Roman"/>
                <w:kern w:val="0"/>
                <w:sz w:val="20"/>
                <w:szCs w:val="21"/>
              </w:rPr>
            </w:pPr>
            <w:r>
              <w:rPr>
                <w:rFonts w:hint="eastAsia" w:ascii="Times New Roman" w:hAnsi="Times New Roman"/>
                <w:kern w:val="0"/>
                <w:sz w:val="20"/>
                <w:szCs w:val="21"/>
              </w:rPr>
              <w:t>###元/公斤</w:t>
            </w:r>
          </w:p>
        </w:tc>
        <w:tc>
          <w:tcPr>
            <w:tcW w:w="1245" w:type="dxa"/>
            <w:vAlign w:val="center"/>
          </w:tcPr>
          <w:p>
            <w:pPr>
              <w:spacing w:line="240" w:lineRule="exact"/>
              <w:ind w:firstLine="420"/>
              <w:jc w:val="center"/>
              <w:rPr>
                <w:rFonts w:ascii="Times New Roman" w:hAnsi="Times New Roman"/>
                <w:kern w:val="0"/>
                <w:sz w:val="20"/>
                <w:szCs w:val="21"/>
              </w:rPr>
            </w:pPr>
          </w:p>
        </w:tc>
        <w:tc>
          <w:tcPr>
            <w:tcW w:w="1226" w:type="dxa"/>
            <w:vAlign w:val="center"/>
          </w:tcPr>
          <w:p>
            <w:pPr>
              <w:spacing w:line="240" w:lineRule="exact"/>
              <w:ind w:firstLine="420"/>
              <w:jc w:val="center"/>
              <w:rPr>
                <w:rFonts w:ascii="Times New Roman" w:hAnsi="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779" w:type="dxa"/>
            <w:vAlign w:val="center"/>
          </w:tcPr>
          <w:p>
            <w:pPr>
              <w:spacing w:line="240" w:lineRule="exact"/>
              <w:jc w:val="center"/>
              <w:rPr>
                <w:rFonts w:ascii="Times New Roman" w:hAnsi="Times New Roman"/>
                <w:kern w:val="0"/>
                <w:sz w:val="20"/>
                <w:szCs w:val="21"/>
              </w:rPr>
            </w:pPr>
            <w:r>
              <w:rPr>
                <w:rFonts w:hint="eastAsia" w:ascii="Times New Roman" w:hAnsi="Times New Roman"/>
                <w:kern w:val="0"/>
                <w:sz w:val="20"/>
                <w:szCs w:val="21"/>
              </w:rPr>
              <w:t>5</w:t>
            </w:r>
          </w:p>
        </w:tc>
        <w:tc>
          <w:tcPr>
            <w:tcW w:w="1232" w:type="dxa"/>
            <w:vAlign w:val="center"/>
          </w:tcPr>
          <w:p>
            <w:pPr>
              <w:widowControl/>
              <w:spacing w:line="240" w:lineRule="exact"/>
              <w:ind w:firstLine="420"/>
              <w:jc w:val="center"/>
              <w:rPr>
                <w:rFonts w:ascii="Times New Roman" w:hAnsi="Times New Roman"/>
                <w:kern w:val="0"/>
                <w:sz w:val="20"/>
                <w:szCs w:val="21"/>
              </w:rPr>
            </w:pPr>
            <w:r>
              <w:rPr>
                <w:rFonts w:hint="eastAsia" w:ascii="Times New Roman" w:hAnsi="Times New Roman"/>
                <w:kern w:val="0"/>
                <w:sz w:val="20"/>
                <w:szCs w:val="21"/>
              </w:rPr>
              <w:t>低筋面粉</w:t>
            </w:r>
          </w:p>
        </w:tc>
        <w:tc>
          <w:tcPr>
            <w:tcW w:w="4020" w:type="dxa"/>
            <w:vAlign w:val="center"/>
          </w:tcPr>
          <w:p>
            <w:pPr>
              <w:numPr>
                <w:ilvl w:val="0"/>
                <w:numId w:val="2"/>
              </w:numPr>
              <w:spacing w:line="240" w:lineRule="exact"/>
              <w:rPr>
                <w:rFonts w:ascii="Times New Roman" w:hAnsi="Times New Roman"/>
                <w:kern w:val="0"/>
                <w:sz w:val="20"/>
                <w:szCs w:val="21"/>
              </w:rPr>
            </w:pPr>
            <w:r>
              <w:rPr>
                <w:rFonts w:hint="eastAsia" w:ascii="Times New Roman" w:hAnsi="Times New Roman"/>
                <w:kern w:val="0"/>
                <w:sz w:val="20"/>
                <w:szCs w:val="21"/>
              </w:rPr>
              <w:t>低筋面粉达Q/JHMF01标准，质量等级一级；</w:t>
            </w:r>
          </w:p>
          <w:p>
            <w:pPr>
              <w:numPr>
                <w:ilvl w:val="0"/>
                <w:numId w:val="2"/>
              </w:numPr>
              <w:spacing w:line="240" w:lineRule="exact"/>
              <w:rPr>
                <w:rFonts w:ascii="Times New Roman" w:hAnsi="Times New Roman"/>
                <w:kern w:val="0"/>
                <w:sz w:val="20"/>
                <w:szCs w:val="21"/>
              </w:rPr>
            </w:pPr>
            <w:r>
              <w:rPr>
                <w:rFonts w:hint="eastAsia" w:ascii="Times New Roman" w:hAnsi="Times New Roman"/>
                <w:kern w:val="0"/>
                <w:sz w:val="20"/>
                <w:szCs w:val="21"/>
              </w:rPr>
              <w:t>色泽正常，干爽无异味；</w:t>
            </w:r>
          </w:p>
          <w:p>
            <w:pPr>
              <w:numPr>
                <w:ilvl w:val="0"/>
                <w:numId w:val="2"/>
              </w:numPr>
              <w:spacing w:line="240" w:lineRule="exact"/>
              <w:rPr>
                <w:rFonts w:ascii="Times New Roman" w:hAnsi="Times New Roman"/>
                <w:kern w:val="0"/>
                <w:sz w:val="20"/>
                <w:szCs w:val="21"/>
              </w:rPr>
            </w:pPr>
            <w:r>
              <w:rPr>
                <w:rFonts w:hint="eastAsia" w:ascii="Times New Roman" w:hAnsi="Times New Roman"/>
                <w:kern w:val="0"/>
                <w:sz w:val="20"/>
                <w:szCs w:val="21"/>
              </w:rPr>
              <w:t>按进货量抽查20％，数量按抽查验收实数为准；</w:t>
            </w:r>
          </w:p>
          <w:p>
            <w:pPr>
              <w:spacing w:line="240" w:lineRule="exact"/>
              <w:ind w:firstLine="420"/>
              <w:jc w:val="center"/>
              <w:rPr>
                <w:rFonts w:ascii="Times New Roman" w:hAnsi="Times New Roman"/>
                <w:kern w:val="0"/>
                <w:sz w:val="20"/>
                <w:szCs w:val="21"/>
              </w:rPr>
            </w:pPr>
            <w:r>
              <w:rPr>
                <w:rFonts w:hint="eastAsia" w:ascii="Times New Roman" w:hAnsi="Times New Roman"/>
                <w:kern w:val="0"/>
                <w:sz w:val="20"/>
                <w:szCs w:val="21"/>
              </w:rPr>
              <w:t>4、包装袋上有注册商标及QS标注，有检验合格证、生产日期和保质期。</w:t>
            </w:r>
          </w:p>
        </w:tc>
        <w:tc>
          <w:tcPr>
            <w:tcW w:w="872" w:type="dxa"/>
            <w:vAlign w:val="center"/>
          </w:tcPr>
          <w:p>
            <w:pPr>
              <w:spacing w:line="240" w:lineRule="exact"/>
              <w:rPr>
                <w:rFonts w:ascii="Times New Roman" w:hAnsi="Times New Roman"/>
                <w:kern w:val="0"/>
                <w:sz w:val="20"/>
                <w:szCs w:val="21"/>
              </w:rPr>
            </w:pPr>
            <w:r>
              <w:rPr>
                <w:rFonts w:hint="eastAsia" w:ascii="Times New Roman" w:hAnsi="Times New Roman"/>
                <w:kern w:val="0"/>
                <w:sz w:val="20"/>
                <w:szCs w:val="21"/>
              </w:rPr>
              <w:t>25公斤/包</w:t>
            </w:r>
          </w:p>
        </w:tc>
        <w:tc>
          <w:tcPr>
            <w:tcW w:w="1211" w:type="dxa"/>
            <w:vAlign w:val="center"/>
          </w:tcPr>
          <w:p>
            <w:pPr>
              <w:spacing w:line="240" w:lineRule="exact"/>
              <w:ind w:firstLine="420"/>
              <w:jc w:val="center"/>
              <w:rPr>
                <w:rFonts w:ascii="Times New Roman" w:hAnsi="Times New Roman"/>
                <w:kern w:val="0"/>
                <w:sz w:val="20"/>
                <w:szCs w:val="21"/>
              </w:rPr>
            </w:pPr>
            <w:r>
              <w:rPr>
                <w:rFonts w:hint="eastAsia" w:ascii="Times New Roman" w:hAnsi="Times New Roman"/>
                <w:kern w:val="0"/>
                <w:sz w:val="20"/>
                <w:szCs w:val="21"/>
              </w:rPr>
              <w:t>###元/公斤</w:t>
            </w:r>
          </w:p>
        </w:tc>
        <w:tc>
          <w:tcPr>
            <w:tcW w:w="1245" w:type="dxa"/>
            <w:vAlign w:val="center"/>
          </w:tcPr>
          <w:p>
            <w:pPr>
              <w:spacing w:line="240" w:lineRule="exact"/>
              <w:ind w:firstLine="420"/>
              <w:jc w:val="center"/>
              <w:rPr>
                <w:rFonts w:ascii="Times New Roman" w:hAnsi="Times New Roman"/>
                <w:kern w:val="0"/>
                <w:sz w:val="20"/>
                <w:szCs w:val="21"/>
              </w:rPr>
            </w:pPr>
          </w:p>
        </w:tc>
        <w:tc>
          <w:tcPr>
            <w:tcW w:w="1226" w:type="dxa"/>
            <w:vAlign w:val="center"/>
          </w:tcPr>
          <w:p>
            <w:pPr>
              <w:spacing w:line="240" w:lineRule="exact"/>
              <w:ind w:firstLine="420"/>
              <w:jc w:val="center"/>
              <w:rPr>
                <w:rFonts w:ascii="Times New Roman" w:hAnsi="Times New Roman"/>
                <w:kern w:val="0"/>
                <w:sz w:val="20"/>
                <w:szCs w:val="21"/>
              </w:rPr>
            </w:pPr>
          </w:p>
        </w:tc>
      </w:tr>
    </w:tbl>
    <w:p>
      <w:pPr>
        <w:ind w:left="-540" w:leftChars="-257"/>
        <w:rPr>
          <w:sz w:val="24"/>
          <w:szCs w:val="24"/>
        </w:rPr>
      </w:pPr>
      <w:r>
        <w:rPr>
          <w:rFonts w:hint="eastAsia"/>
          <w:sz w:val="24"/>
          <w:szCs w:val="24"/>
        </w:rPr>
        <w:t>注：1、本报价包含包装、运输、装卸和税金等全部费用；</w:t>
      </w:r>
    </w:p>
    <w:p>
      <w:pPr>
        <w:rPr>
          <w:sz w:val="24"/>
          <w:szCs w:val="24"/>
        </w:rPr>
      </w:pPr>
      <w:r>
        <w:rPr>
          <w:rFonts w:hint="eastAsia"/>
          <w:sz w:val="24"/>
          <w:szCs w:val="24"/>
        </w:rPr>
        <w:t>2、</w:t>
      </w:r>
      <w:r>
        <w:rPr>
          <w:rFonts w:hint="eastAsia"/>
          <w:b/>
          <w:sz w:val="24"/>
          <w:szCs w:val="24"/>
        </w:rPr>
        <w:t>投标人递交报价函时要同时递交相应包装的大米、面粉和食用油样品，中标单位的样品作为将来供货验收标准，未中标单位的样品在定标后由投标人自行取走。</w:t>
      </w:r>
    </w:p>
    <w:p>
      <w:pPr>
        <w:rPr>
          <w:sz w:val="24"/>
          <w:szCs w:val="24"/>
        </w:rPr>
      </w:pPr>
      <w:r>
        <w:rPr>
          <w:rFonts w:hint="eastAsia"/>
          <w:sz w:val="24"/>
          <w:szCs w:val="24"/>
        </w:rPr>
        <w:t>3、报价有效期2016年  月  日至2016年  月  日。</w:t>
      </w:r>
    </w:p>
    <w:p>
      <w:pPr>
        <w:rPr>
          <w:sz w:val="24"/>
          <w:szCs w:val="24"/>
        </w:rPr>
      </w:pPr>
      <w:r>
        <w:rPr>
          <w:rFonts w:hint="eastAsia"/>
          <w:sz w:val="24"/>
          <w:szCs w:val="24"/>
        </w:rPr>
        <w:t>4、本报价表请于2016年 月  日上午10时前密封完好交回广东石油化工学院后勤服务与管理处办公室。联系人：     ，电话：2923775。</w:t>
      </w:r>
    </w:p>
    <w:p>
      <w:pPr>
        <w:rPr>
          <w:sz w:val="24"/>
          <w:szCs w:val="24"/>
        </w:rPr>
      </w:pPr>
    </w:p>
    <w:p>
      <w:pPr>
        <w:spacing w:line="480" w:lineRule="auto"/>
        <w:jc w:val="center"/>
        <w:rPr>
          <w:sz w:val="24"/>
          <w:szCs w:val="24"/>
        </w:rPr>
      </w:pPr>
      <w:r>
        <w:rPr>
          <w:rFonts w:hint="eastAsia"/>
          <w:sz w:val="24"/>
          <w:szCs w:val="24"/>
        </w:rPr>
        <w:t xml:space="preserve">       报价单位（盖章）：</w:t>
      </w:r>
    </w:p>
    <w:p>
      <w:pPr>
        <w:spacing w:line="480" w:lineRule="auto"/>
        <w:jc w:val="center"/>
        <w:rPr>
          <w:sz w:val="24"/>
          <w:szCs w:val="24"/>
        </w:rPr>
      </w:pPr>
      <w:r>
        <w:rPr>
          <w:rFonts w:hint="eastAsia"/>
          <w:sz w:val="24"/>
          <w:szCs w:val="24"/>
        </w:rPr>
        <w:t>报 价 人：</w:t>
      </w:r>
    </w:p>
    <w:p>
      <w:pPr>
        <w:spacing w:line="480" w:lineRule="auto"/>
        <w:jc w:val="center"/>
        <w:rPr>
          <w:sz w:val="24"/>
          <w:szCs w:val="24"/>
        </w:rPr>
      </w:pPr>
      <w:r>
        <w:rPr>
          <w:rFonts w:hint="eastAsia"/>
          <w:sz w:val="24"/>
          <w:szCs w:val="24"/>
        </w:rPr>
        <w:t>日    期：</w:t>
      </w:r>
    </w:p>
    <w:p>
      <w:pPr>
        <w:rPr>
          <w:rFonts w:ascii="宋体" w:hAnsi="宋体"/>
          <w:b/>
          <w:sz w:val="32"/>
          <w:szCs w:val="32"/>
        </w:rPr>
      </w:pPr>
    </w:p>
    <w:p>
      <w:pPr>
        <w:jc w:val="center"/>
        <w:rPr>
          <w:rFonts w:ascii="宋体" w:hAnsi="宋体"/>
          <w:b/>
          <w:sz w:val="32"/>
          <w:szCs w:val="32"/>
        </w:rPr>
      </w:pPr>
      <w:r>
        <w:rPr>
          <w:rFonts w:hint="eastAsia" w:ascii="宋体" w:hAnsi="宋体"/>
          <w:b/>
          <w:sz w:val="32"/>
          <w:szCs w:val="32"/>
        </w:rPr>
        <w:br w:type="page"/>
      </w:r>
      <w:r>
        <w:rPr>
          <w:rFonts w:hint="eastAsia" w:ascii="宋体" w:hAnsi="宋体"/>
          <w:b/>
          <w:sz w:val="32"/>
          <w:szCs w:val="32"/>
        </w:rPr>
        <w:t>第四部分 投标文件</w:t>
      </w:r>
    </w:p>
    <w:p>
      <w:pPr>
        <w:jc w:val="center"/>
        <w:rPr>
          <w:rFonts w:ascii="宋体" w:hAnsi="宋体"/>
          <w:b/>
          <w:sz w:val="32"/>
          <w:szCs w:val="32"/>
        </w:rPr>
      </w:pPr>
      <w:r>
        <w:rPr>
          <w:rFonts w:hint="eastAsia" w:ascii="宋体" w:hAnsi="宋体"/>
          <w:b/>
          <w:sz w:val="32"/>
          <w:szCs w:val="32"/>
        </w:rPr>
        <w:t>（一）投标响应书（格式）</w:t>
      </w:r>
    </w:p>
    <w:p>
      <w:pPr>
        <w:rPr>
          <w:rFonts w:ascii="宋体" w:hAnsi="宋体"/>
          <w:sz w:val="24"/>
        </w:rPr>
      </w:pPr>
      <w:r>
        <w:rPr>
          <w:rFonts w:hint="eastAsia" w:ascii="宋体" w:hAnsi="宋体"/>
          <w:sz w:val="24"/>
        </w:rPr>
        <w:t>致：广东石油化工学院招投标办公室；</w:t>
      </w:r>
    </w:p>
    <w:p>
      <w:pPr>
        <w:ind w:firstLine="480" w:firstLineChars="200"/>
        <w:rPr>
          <w:rFonts w:ascii="宋体" w:hAnsi="宋体"/>
          <w:sz w:val="24"/>
        </w:rPr>
      </w:pPr>
      <w:r>
        <w:rPr>
          <w:rFonts w:hint="eastAsia" w:ascii="宋体" w:hAnsi="宋体"/>
          <w:sz w:val="24"/>
        </w:rPr>
        <w:t>根据你们广东石油化工学院 MMC2016A023T招标采购大米、面粉及食用油的招标文件要求，___________（全名或职衔）经正式授权并以投标人（投标人、地址）的名义投标，提交下述正本一份。</w:t>
      </w:r>
    </w:p>
    <w:p>
      <w:pPr>
        <w:numPr>
          <w:ilvl w:val="1"/>
          <w:numId w:val="6"/>
        </w:numPr>
        <w:rPr>
          <w:rFonts w:ascii="宋体" w:hAnsi="宋体"/>
          <w:sz w:val="24"/>
        </w:rPr>
      </w:pPr>
      <w:r>
        <w:rPr>
          <w:rFonts w:hint="eastAsia" w:ascii="宋体" w:hAnsi="宋体"/>
          <w:sz w:val="24"/>
        </w:rPr>
        <w:t>投标响应书；</w:t>
      </w:r>
    </w:p>
    <w:p>
      <w:pPr>
        <w:numPr>
          <w:ilvl w:val="1"/>
          <w:numId w:val="6"/>
        </w:numPr>
        <w:rPr>
          <w:rFonts w:ascii="宋体" w:hAnsi="宋体"/>
          <w:sz w:val="24"/>
        </w:rPr>
      </w:pPr>
      <w:r>
        <w:rPr>
          <w:rFonts w:hint="eastAsia" w:ascii="宋体" w:hAnsi="宋体"/>
          <w:sz w:val="24"/>
        </w:rPr>
        <w:t>服务承诺书；</w:t>
      </w:r>
    </w:p>
    <w:p>
      <w:pPr>
        <w:numPr>
          <w:ilvl w:val="1"/>
          <w:numId w:val="6"/>
        </w:numPr>
        <w:rPr>
          <w:rFonts w:ascii="宋体" w:hAnsi="宋体"/>
          <w:sz w:val="24"/>
        </w:rPr>
      </w:pPr>
      <w:r>
        <w:rPr>
          <w:rFonts w:hint="eastAsia" w:ascii="宋体" w:hAnsi="宋体"/>
          <w:sz w:val="24"/>
        </w:rPr>
        <w:t>投标保证书；</w:t>
      </w:r>
    </w:p>
    <w:p>
      <w:pPr>
        <w:numPr>
          <w:ilvl w:val="1"/>
          <w:numId w:val="6"/>
        </w:numPr>
        <w:rPr>
          <w:rFonts w:ascii="宋体" w:hAnsi="宋体"/>
          <w:sz w:val="24"/>
        </w:rPr>
      </w:pPr>
      <w:r>
        <w:rPr>
          <w:rFonts w:hint="eastAsia" w:ascii="宋体" w:hAnsi="宋体"/>
          <w:sz w:val="24"/>
        </w:rPr>
        <w:t>法人授权委托证明书（非法人代表投标时出具）；</w:t>
      </w:r>
    </w:p>
    <w:p>
      <w:pPr>
        <w:numPr>
          <w:ilvl w:val="1"/>
          <w:numId w:val="6"/>
        </w:numPr>
        <w:rPr>
          <w:rFonts w:ascii="宋体" w:hAnsi="宋体"/>
          <w:sz w:val="24"/>
        </w:rPr>
      </w:pPr>
      <w:r>
        <w:rPr>
          <w:rFonts w:hint="eastAsia" w:ascii="宋体" w:hAnsi="宋体"/>
          <w:sz w:val="24"/>
        </w:rPr>
        <w:t>出具《中华人民共和国企业法人人营业执照》、《税务登记证》和《组织机构代码证》</w:t>
      </w:r>
      <w:r>
        <w:rPr>
          <w:rFonts w:ascii="宋体" w:hAnsi="宋体" w:cs="宋体"/>
          <w:kern w:val="0"/>
          <w:sz w:val="24"/>
        </w:rPr>
        <w:t>复印件（加盖公章）</w:t>
      </w:r>
      <w:r>
        <w:rPr>
          <w:rFonts w:hint="eastAsia" w:ascii="宋体" w:hAnsi="宋体" w:cs="宋体"/>
          <w:kern w:val="0"/>
          <w:sz w:val="24"/>
        </w:rPr>
        <w:t>，食品卫生许可证，销售许可证和食品QS质量体系认证等有效证书。</w:t>
      </w:r>
    </w:p>
    <w:p>
      <w:pPr>
        <w:numPr>
          <w:ilvl w:val="1"/>
          <w:numId w:val="6"/>
        </w:numPr>
        <w:rPr>
          <w:rFonts w:ascii="宋体" w:hAnsi="宋体" w:cs="宋体"/>
          <w:kern w:val="0"/>
          <w:sz w:val="24"/>
        </w:rPr>
      </w:pPr>
      <w:r>
        <w:rPr>
          <w:rFonts w:hint="eastAsia" w:ascii="宋体" w:hAnsi="宋体" w:cs="宋体"/>
          <w:kern w:val="0"/>
          <w:sz w:val="24"/>
        </w:rPr>
        <w:t>资格文件；</w:t>
      </w:r>
    </w:p>
    <w:p>
      <w:pPr>
        <w:numPr>
          <w:ilvl w:val="1"/>
          <w:numId w:val="6"/>
        </w:numPr>
        <w:rPr>
          <w:rFonts w:ascii="宋体" w:hAnsi="宋体" w:cs="宋体"/>
          <w:kern w:val="0"/>
          <w:sz w:val="24"/>
        </w:rPr>
      </w:pPr>
      <w:r>
        <w:rPr>
          <w:rFonts w:hint="eastAsia" w:ascii="宋体" w:hAnsi="宋体" w:cs="宋体"/>
          <w:kern w:val="0"/>
          <w:sz w:val="24"/>
        </w:rPr>
        <w:t>业绩证明文件。</w:t>
      </w:r>
    </w:p>
    <w:p>
      <w:pPr>
        <w:ind w:firstLine="480" w:firstLineChars="200"/>
        <w:rPr>
          <w:rFonts w:ascii="宋体" w:hAnsi="宋体" w:cs="宋体"/>
          <w:kern w:val="0"/>
          <w:sz w:val="24"/>
        </w:rPr>
      </w:pPr>
      <w:r>
        <w:rPr>
          <w:rFonts w:hint="eastAsia" w:ascii="宋体" w:hAnsi="宋体" w:cs="宋体"/>
          <w:kern w:val="0"/>
          <w:sz w:val="24"/>
        </w:rPr>
        <w:t>签字代表在此声明并同意：</w:t>
      </w:r>
    </w:p>
    <w:p>
      <w:pPr>
        <w:ind w:firstLine="581" w:firstLineChars="242"/>
        <w:rPr>
          <w:rFonts w:ascii="宋体" w:hAnsi="宋体"/>
          <w:sz w:val="24"/>
        </w:rPr>
      </w:pPr>
      <w:r>
        <w:rPr>
          <w:rFonts w:hint="eastAsia" w:ascii="宋体" w:hAnsi="宋体"/>
          <w:sz w:val="24"/>
        </w:rPr>
        <w:t>（1）我们已经详细地阅读了全部招标文件及附件，包括澄清及参考文件（如果有的话），我们理解并同意放弃对这方面有不明及误解的权利；</w:t>
      </w:r>
    </w:p>
    <w:p>
      <w:pPr>
        <w:ind w:firstLine="617" w:firstLineChars="257"/>
        <w:rPr>
          <w:rFonts w:ascii="宋体" w:hAnsi="宋体"/>
          <w:sz w:val="24"/>
        </w:rPr>
      </w:pPr>
      <w:r>
        <w:rPr>
          <w:rFonts w:hint="eastAsia" w:ascii="宋体" w:hAnsi="宋体"/>
          <w:sz w:val="24"/>
        </w:rPr>
        <w:t>（2）我们同意提供招标人要求的有关投标的其他资料；</w:t>
      </w:r>
    </w:p>
    <w:p>
      <w:pPr>
        <w:ind w:firstLine="617" w:firstLineChars="257"/>
        <w:rPr>
          <w:rFonts w:ascii="宋体" w:hAnsi="宋体"/>
          <w:sz w:val="24"/>
        </w:rPr>
      </w:pPr>
      <w:r>
        <w:rPr>
          <w:rFonts w:hint="eastAsia" w:ascii="宋体" w:hAnsi="宋体"/>
          <w:sz w:val="24"/>
        </w:rPr>
        <w:t>（3）我们理解招标人并无义务必须接受最低报价的投标。</w:t>
      </w:r>
    </w:p>
    <w:p>
      <w:pPr>
        <w:ind w:left="420"/>
        <w:rPr>
          <w:rFonts w:ascii="宋体" w:hAnsi="宋体"/>
          <w:sz w:val="24"/>
        </w:rPr>
      </w:pPr>
      <w:r>
        <w:rPr>
          <w:rFonts w:hint="eastAsia" w:ascii="宋体" w:hAnsi="宋体"/>
          <w:sz w:val="24"/>
        </w:rPr>
        <w:t>授权代表（签名）：__________________________________</w:t>
      </w:r>
    </w:p>
    <w:p>
      <w:pPr>
        <w:ind w:left="420"/>
        <w:rPr>
          <w:rFonts w:ascii="宋体" w:hAnsi="宋体"/>
          <w:sz w:val="24"/>
        </w:rPr>
      </w:pPr>
      <w:r>
        <w:rPr>
          <w:rFonts w:hint="eastAsia" w:ascii="宋体" w:hAnsi="宋体"/>
          <w:sz w:val="24"/>
        </w:rPr>
        <w:t>职位：_____________________________________________</w:t>
      </w:r>
    </w:p>
    <w:p>
      <w:pPr>
        <w:ind w:left="420"/>
        <w:rPr>
          <w:rFonts w:ascii="宋体" w:hAnsi="宋体"/>
          <w:sz w:val="24"/>
        </w:rPr>
      </w:pPr>
      <w:r>
        <w:rPr>
          <w:rFonts w:hint="eastAsia" w:ascii="宋体" w:hAnsi="宋体"/>
          <w:sz w:val="24"/>
        </w:rPr>
        <w:t>投标方名称：_______________________________________</w:t>
      </w:r>
    </w:p>
    <w:p>
      <w:pPr>
        <w:ind w:left="420"/>
        <w:rPr>
          <w:rFonts w:ascii="宋体" w:hAnsi="宋体"/>
          <w:sz w:val="24"/>
        </w:rPr>
      </w:pPr>
      <w:r>
        <w:rPr>
          <w:rFonts w:hint="eastAsia" w:ascii="宋体" w:hAnsi="宋体"/>
          <w:sz w:val="24"/>
        </w:rPr>
        <w:t>投标方印章：_______________________________________</w:t>
      </w:r>
    </w:p>
    <w:p>
      <w:pPr>
        <w:ind w:left="420"/>
        <w:rPr>
          <w:rFonts w:ascii="宋体" w:hAnsi="宋体"/>
          <w:sz w:val="24"/>
        </w:rPr>
      </w:pPr>
      <w:r>
        <w:rPr>
          <w:rFonts w:hint="eastAsia" w:ascii="宋体" w:hAnsi="宋体"/>
          <w:sz w:val="24"/>
        </w:rPr>
        <w:t>联系电话：_________________________________________</w:t>
      </w:r>
    </w:p>
    <w:p>
      <w:pPr>
        <w:rPr>
          <w:rFonts w:ascii="宋体" w:hAnsi="宋体"/>
          <w:b/>
          <w:sz w:val="24"/>
        </w:rPr>
      </w:pPr>
    </w:p>
    <w:p>
      <w:pPr>
        <w:jc w:val="center"/>
        <w:rPr>
          <w:rFonts w:ascii="宋体" w:hAnsi="宋体"/>
          <w:b/>
          <w:sz w:val="32"/>
          <w:szCs w:val="32"/>
        </w:rPr>
      </w:pPr>
      <w:r>
        <w:rPr>
          <w:rFonts w:hint="eastAsia" w:ascii="宋体" w:hAnsi="宋体"/>
          <w:b/>
          <w:sz w:val="32"/>
          <w:szCs w:val="32"/>
        </w:rPr>
        <w:t>（二）服务承诺书（格式）</w:t>
      </w:r>
    </w:p>
    <w:p>
      <w:pPr>
        <w:jc w:val="center"/>
        <w:rPr>
          <w:rFonts w:ascii="宋体" w:hAnsi="宋体"/>
          <w:b/>
          <w:sz w:val="18"/>
          <w:szCs w:val="18"/>
        </w:rPr>
      </w:pPr>
    </w:p>
    <w:p>
      <w:pPr>
        <w:rPr>
          <w:rFonts w:ascii="宋体" w:hAnsi="宋体"/>
          <w:sz w:val="24"/>
        </w:rPr>
      </w:pPr>
      <w:r>
        <w:rPr>
          <w:rFonts w:hint="eastAsia" w:ascii="宋体" w:hAnsi="宋体"/>
          <w:sz w:val="24"/>
        </w:rPr>
        <w:t>致：广东石油化工学院招投标办公室；</w:t>
      </w:r>
    </w:p>
    <w:p>
      <w:pPr>
        <w:ind w:firstLine="540" w:firstLineChars="225"/>
        <w:rPr>
          <w:rFonts w:ascii="宋体" w:hAnsi="宋体"/>
          <w:sz w:val="24"/>
        </w:rPr>
      </w:pPr>
      <w:r>
        <w:rPr>
          <w:rFonts w:hint="eastAsia" w:ascii="宋体" w:hAnsi="宋体"/>
          <w:sz w:val="24"/>
        </w:rPr>
        <w:t>根据你方采购大米、面粉及食用油的招标文件要求，我们对所投标的大米、面粉及食用油承诺如下服务：_______________</w:t>
      </w:r>
    </w:p>
    <w:p>
      <w:pPr>
        <w:ind w:firstLine="540" w:firstLineChars="225"/>
        <w:rPr>
          <w:rFonts w:ascii="宋体" w:hAnsi="宋体"/>
          <w:sz w:val="24"/>
        </w:rPr>
      </w:pPr>
      <w:r>
        <w:rPr>
          <w:rFonts w:hint="eastAsia" w:ascii="宋体" w:hAnsi="宋体"/>
          <w:sz w:val="24"/>
        </w:rPr>
        <w:t>____________________________________________________________________。</w:t>
      </w:r>
    </w:p>
    <w:p>
      <w:pPr>
        <w:ind w:firstLine="540" w:firstLineChars="225"/>
        <w:rPr>
          <w:rFonts w:ascii="宋体" w:hAnsi="宋体"/>
          <w:sz w:val="24"/>
        </w:rPr>
      </w:pPr>
    </w:p>
    <w:p>
      <w:pPr>
        <w:ind w:left="420"/>
        <w:rPr>
          <w:rFonts w:ascii="宋体" w:hAnsi="宋体"/>
          <w:sz w:val="24"/>
        </w:rPr>
      </w:pPr>
      <w:r>
        <w:rPr>
          <w:rFonts w:hint="eastAsia" w:ascii="宋体" w:hAnsi="宋体"/>
          <w:sz w:val="24"/>
        </w:rPr>
        <w:t>特此承诺！</w:t>
      </w:r>
    </w:p>
    <w:p>
      <w:pPr>
        <w:ind w:left="420"/>
        <w:rPr>
          <w:rFonts w:ascii="宋体" w:hAnsi="宋体"/>
          <w:sz w:val="24"/>
        </w:rPr>
      </w:pPr>
    </w:p>
    <w:p>
      <w:pPr>
        <w:ind w:left="420"/>
        <w:rPr>
          <w:rFonts w:ascii="宋体" w:hAnsi="宋体"/>
          <w:sz w:val="24"/>
        </w:rPr>
      </w:pPr>
      <w:r>
        <w:rPr>
          <w:rFonts w:hint="eastAsia" w:ascii="宋体" w:hAnsi="宋体"/>
          <w:sz w:val="24"/>
        </w:rPr>
        <w:t>承诺方授权代表（签名）：_______________________</w:t>
      </w:r>
    </w:p>
    <w:p>
      <w:pPr>
        <w:ind w:left="420"/>
        <w:rPr>
          <w:rFonts w:ascii="宋体" w:hAnsi="宋体"/>
          <w:sz w:val="24"/>
        </w:rPr>
      </w:pPr>
      <w:r>
        <w:rPr>
          <w:rFonts w:hint="eastAsia" w:ascii="宋体" w:hAnsi="宋体"/>
          <w:sz w:val="24"/>
        </w:rPr>
        <w:t>职位：________________________________________</w:t>
      </w:r>
    </w:p>
    <w:p>
      <w:pPr>
        <w:ind w:left="420"/>
        <w:rPr>
          <w:rFonts w:ascii="宋体" w:hAnsi="宋体"/>
          <w:sz w:val="24"/>
        </w:rPr>
      </w:pPr>
      <w:r>
        <w:rPr>
          <w:rFonts w:hint="eastAsia" w:ascii="宋体" w:hAnsi="宋体"/>
          <w:sz w:val="24"/>
        </w:rPr>
        <w:t>承诺方名称：__________________________________</w:t>
      </w:r>
    </w:p>
    <w:p>
      <w:pPr>
        <w:ind w:left="420"/>
        <w:rPr>
          <w:rFonts w:ascii="宋体" w:hAnsi="宋体"/>
          <w:sz w:val="24"/>
        </w:rPr>
      </w:pPr>
      <w:r>
        <w:rPr>
          <w:rFonts w:hint="eastAsia" w:ascii="宋体" w:hAnsi="宋体"/>
          <w:sz w:val="24"/>
        </w:rPr>
        <w:t>承诺方印章：__________________________________</w:t>
      </w:r>
    </w:p>
    <w:p>
      <w:pPr>
        <w:ind w:left="420"/>
        <w:rPr>
          <w:rFonts w:ascii="宋体" w:hAnsi="宋体"/>
          <w:sz w:val="24"/>
        </w:rPr>
      </w:pPr>
      <w:r>
        <w:rPr>
          <w:rFonts w:hint="eastAsia" w:ascii="宋体" w:hAnsi="宋体"/>
          <w:sz w:val="24"/>
        </w:rPr>
        <w:t>联系电话：____________________________________</w:t>
      </w:r>
    </w:p>
    <w:p>
      <w:pPr>
        <w:ind w:left="420"/>
        <w:rPr>
          <w:rFonts w:ascii="宋体" w:hAnsi="宋体"/>
          <w:sz w:val="24"/>
        </w:rPr>
      </w:pPr>
      <w:r>
        <w:rPr>
          <w:rFonts w:hint="eastAsia" w:ascii="宋体" w:hAnsi="宋体"/>
          <w:sz w:val="24"/>
        </w:rPr>
        <w:t>邮编：________________________________________</w:t>
      </w:r>
    </w:p>
    <w:p>
      <w:pPr>
        <w:ind w:firstLine="360" w:firstLineChars="150"/>
        <w:rPr>
          <w:rFonts w:ascii="宋体" w:hAnsi="宋体"/>
          <w:sz w:val="24"/>
        </w:rPr>
      </w:pPr>
      <w:r>
        <w:rPr>
          <w:rFonts w:hint="eastAsia" w:ascii="宋体" w:hAnsi="宋体"/>
          <w:sz w:val="24"/>
        </w:rPr>
        <w:t xml:space="preserve">地址: _______________________________________ _ </w:t>
      </w:r>
    </w:p>
    <w:p>
      <w:pPr>
        <w:jc w:val="center"/>
        <w:rPr>
          <w:rFonts w:ascii="宋体" w:hAnsi="宋体"/>
          <w:b/>
          <w:sz w:val="32"/>
          <w:szCs w:val="32"/>
        </w:rPr>
      </w:pPr>
      <w:r>
        <w:rPr>
          <w:rFonts w:hint="eastAsia" w:ascii="宋体" w:hAnsi="宋体"/>
          <w:b/>
          <w:sz w:val="32"/>
          <w:szCs w:val="32"/>
        </w:rPr>
        <w:t>（三）投标保证书（格式）</w:t>
      </w:r>
    </w:p>
    <w:p>
      <w:pPr>
        <w:jc w:val="center"/>
        <w:rPr>
          <w:rFonts w:ascii="宋体" w:hAnsi="宋体"/>
          <w:b/>
          <w:sz w:val="32"/>
          <w:szCs w:val="32"/>
        </w:rPr>
      </w:pPr>
    </w:p>
    <w:p>
      <w:pPr>
        <w:rPr>
          <w:rFonts w:ascii="宋体" w:hAnsi="宋体"/>
          <w:sz w:val="24"/>
        </w:rPr>
      </w:pPr>
      <w:r>
        <w:rPr>
          <w:rFonts w:hint="eastAsia" w:ascii="宋体" w:hAnsi="宋体"/>
          <w:sz w:val="24"/>
        </w:rPr>
        <w:t>致：广东石油化工学院招投标办公室；</w:t>
      </w:r>
    </w:p>
    <w:p>
      <w:pPr>
        <w:ind w:firstLine="480" w:firstLineChars="200"/>
        <w:rPr>
          <w:rFonts w:ascii="宋体" w:hAnsi="宋体"/>
          <w:sz w:val="24"/>
        </w:rPr>
      </w:pPr>
      <w:r>
        <w:rPr>
          <w:rFonts w:hint="eastAsia" w:ascii="宋体" w:hAnsi="宋体"/>
          <w:sz w:val="24"/>
        </w:rPr>
        <w:t>关于你方2016年___月___日招标文件的规定要求，本投标人愿意参加投标，并证明提交的所有资料是准确的和真实的。</w:t>
      </w:r>
    </w:p>
    <w:p>
      <w:pPr>
        <w:jc w:val="center"/>
        <w:rPr>
          <w:rFonts w:ascii="宋体" w:hAnsi="宋体"/>
          <w:b/>
          <w:sz w:val="24"/>
        </w:rPr>
      </w:pPr>
    </w:p>
    <w:p>
      <w:pPr>
        <w:jc w:val="center"/>
        <w:rPr>
          <w:rFonts w:ascii="宋体" w:hAnsi="宋体"/>
          <w:sz w:val="24"/>
        </w:rPr>
      </w:pPr>
    </w:p>
    <w:p>
      <w:pPr>
        <w:ind w:left="420"/>
        <w:rPr>
          <w:rFonts w:ascii="宋体" w:hAnsi="宋体"/>
          <w:sz w:val="24"/>
        </w:rPr>
      </w:pPr>
      <w:r>
        <w:rPr>
          <w:rFonts w:hint="eastAsia" w:ascii="宋体" w:hAnsi="宋体"/>
          <w:sz w:val="24"/>
        </w:rPr>
        <w:t>授权代表（签名）：____________________________</w:t>
      </w:r>
    </w:p>
    <w:p>
      <w:pPr>
        <w:ind w:left="420"/>
        <w:rPr>
          <w:rFonts w:ascii="宋体" w:hAnsi="宋体"/>
          <w:sz w:val="24"/>
        </w:rPr>
      </w:pPr>
      <w:r>
        <w:rPr>
          <w:rFonts w:hint="eastAsia" w:ascii="宋体" w:hAnsi="宋体"/>
          <w:sz w:val="24"/>
        </w:rPr>
        <w:t>职位：_______________________________________</w:t>
      </w:r>
    </w:p>
    <w:p>
      <w:pPr>
        <w:ind w:left="420"/>
        <w:rPr>
          <w:rFonts w:ascii="宋体" w:hAnsi="宋体"/>
          <w:sz w:val="24"/>
        </w:rPr>
      </w:pPr>
      <w:r>
        <w:rPr>
          <w:rFonts w:hint="eastAsia" w:ascii="宋体" w:hAnsi="宋体"/>
          <w:sz w:val="24"/>
        </w:rPr>
        <w:t>投标方名称：_________________________________</w:t>
      </w:r>
    </w:p>
    <w:p>
      <w:pPr>
        <w:ind w:left="420"/>
        <w:rPr>
          <w:rFonts w:ascii="宋体" w:hAnsi="宋体"/>
          <w:sz w:val="24"/>
        </w:rPr>
      </w:pPr>
      <w:r>
        <w:rPr>
          <w:rFonts w:hint="eastAsia" w:ascii="宋体" w:hAnsi="宋体"/>
          <w:sz w:val="24"/>
        </w:rPr>
        <w:t>投标方印章：_________________________________</w:t>
      </w:r>
    </w:p>
    <w:p>
      <w:pPr>
        <w:ind w:left="420"/>
        <w:rPr>
          <w:rFonts w:ascii="宋体" w:hAnsi="宋体"/>
          <w:sz w:val="24"/>
        </w:rPr>
      </w:pPr>
      <w:r>
        <w:rPr>
          <w:rFonts w:hint="eastAsia" w:ascii="宋体" w:hAnsi="宋体"/>
          <w:sz w:val="24"/>
        </w:rPr>
        <w:t>联系电话：___________________________________</w:t>
      </w:r>
    </w:p>
    <w:p>
      <w:pPr>
        <w:ind w:left="420"/>
        <w:rPr>
          <w:rFonts w:ascii="宋体" w:hAnsi="宋体"/>
          <w:sz w:val="24"/>
        </w:rPr>
      </w:pPr>
      <w:r>
        <w:rPr>
          <w:rFonts w:hint="eastAsia" w:ascii="宋体" w:hAnsi="宋体"/>
          <w:sz w:val="24"/>
        </w:rPr>
        <w:t>邮编：_______________________________________</w:t>
      </w:r>
    </w:p>
    <w:p>
      <w:pPr>
        <w:ind w:left="420"/>
        <w:rPr>
          <w:rFonts w:ascii="宋体" w:hAnsi="宋体"/>
          <w:sz w:val="24"/>
        </w:rPr>
      </w:pPr>
      <w:r>
        <w:rPr>
          <w:rFonts w:hint="eastAsia" w:ascii="宋体" w:hAnsi="宋体"/>
          <w:sz w:val="24"/>
        </w:rPr>
        <w:t>地址：_______________________________________</w:t>
      </w:r>
    </w:p>
    <w:p>
      <w:pPr>
        <w:jc w:val="center"/>
        <w:rPr>
          <w:rFonts w:ascii="宋体" w:hAnsi="宋体"/>
          <w:sz w:val="24"/>
        </w:rPr>
      </w:pPr>
    </w:p>
    <w:p>
      <w:pPr>
        <w:rPr>
          <w:rFonts w:ascii="宋体" w:hAnsi="宋体"/>
          <w:b/>
          <w:sz w:val="32"/>
          <w:szCs w:val="32"/>
        </w:rPr>
      </w:pPr>
    </w:p>
    <w:p>
      <w:pPr>
        <w:rPr>
          <w:rFonts w:ascii="宋体" w:hAnsi="宋体"/>
          <w:b/>
          <w:sz w:val="32"/>
          <w:szCs w:val="32"/>
        </w:rPr>
      </w:pPr>
    </w:p>
    <w:p>
      <w:pPr>
        <w:rPr>
          <w:rFonts w:ascii="宋体" w:hAnsi="宋体"/>
          <w:b/>
          <w:sz w:val="32"/>
          <w:szCs w:val="32"/>
        </w:rPr>
      </w:pPr>
    </w:p>
    <w:p>
      <w:pPr>
        <w:rPr>
          <w:rFonts w:ascii="宋体" w:hAnsi="宋体"/>
          <w:b/>
          <w:sz w:val="32"/>
          <w:szCs w:val="32"/>
        </w:rPr>
      </w:pPr>
    </w:p>
    <w:p>
      <w:pPr>
        <w:jc w:val="center"/>
        <w:rPr>
          <w:rFonts w:ascii="宋体" w:hAnsi="宋体"/>
          <w:b/>
          <w:sz w:val="32"/>
          <w:szCs w:val="32"/>
        </w:rPr>
      </w:pPr>
      <w:r>
        <w:rPr>
          <w:rFonts w:hint="eastAsia" w:ascii="宋体" w:hAnsi="宋体"/>
          <w:b/>
          <w:sz w:val="32"/>
          <w:szCs w:val="32"/>
        </w:rPr>
        <w:t>（四）资格文件</w:t>
      </w:r>
    </w:p>
    <w:p>
      <w:pPr>
        <w:jc w:val="center"/>
        <w:rPr>
          <w:rFonts w:ascii="宋体" w:hAnsi="宋体"/>
          <w:b/>
          <w:sz w:val="32"/>
          <w:szCs w:val="32"/>
        </w:rPr>
      </w:pPr>
    </w:p>
    <w:p>
      <w:pPr>
        <w:ind w:left="420"/>
        <w:rPr>
          <w:rFonts w:ascii="宋体" w:hAnsi="宋体"/>
          <w:sz w:val="24"/>
        </w:rPr>
      </w:pPr>
      <w:r>
        <w:rPr>
          <w:rFonts w:hint="eastAsia" w:ascii="宋体" w:hAnsi="宋体"/>
          <w:sz w:val="24"/>
        </w:rPr>
        <w:t>1、法人授权委托证明书（非法人代表投标时出具）；</w:t>
      </w:r>
    </w:p>
    <w:p>
      <w:pPr>
        <w:ind w:left="420"/>
        <w:rPr>
          <w:rFonts w:ascii="宋体" w:hAnsi="宋体"/>
          <w:sz w:val="24"/>
        </w:rPr>
      </w:pPr>
      <w:r>
        <w:rPr>
          <w:rFonts w:hint="eastAsia" w:ascii="宋体" w:hAnsi="宋体"/>
          <w:sz w:val="24"/>
        </w:rPr>
        <w:t>2、公司的规模、销售网络、简介及现状；</w:t>
      </w:r>
    </w:p>
    <w:p>
      <w:pPr>
        <w:ind w:left="420"/>
        <w:rPr>
          <w:rFonts w:ascii="宋体" w:hAnsi="宋体" w:cs="宋体"/>
          <w:kern w:val="0"/>
          <w:sz w:val="24"/>
        </w:rPr>
      </w:pPr>
      <w:r>
        <w:rPr>
          <w:rFonts w:hint="eastAsia" w:ascii="宋体" w:hAnsi="宋体"/>
          <w:sz w:val="24"/>
        </w:rPr>
        <w:t>3、出具《营业执照》、《机构代码证》和《税务登记证》</w:t>
      </w:r>
      <w:r>
        <w:rPr>
          <w:rFonts w:ascii="宋体" w:hAnsi="宋体" w:cs="宋体"/>
          <w:kern w:val="0"/>
          <w:sz w:val="24"/>
        </w:rPr>
        <w:t>复印件（加盖公章）</w:t>
      </w:r>
      <w:r>
        <w:rPr>
          <w:rFonts w:hint="eastAsia" w:ascii="宋体" w:hAnsi="宋体" w:cs="宋体"/>
          <w:kern w:val="0"/>
          <w:sz w:val="24"/>
        </w:rPr>
        <w:t>；</w:t>
      </w:r>
    </w:p>
    <w:p>
      <w:pPr>
        <w:ind w:left="420"/>
        <w:rPr>
          <w:rFonts w:ascii="宋体" w:hAnsi="宋体"/>
          <w:sz w:val="24"/>
        </w:rPr>
      </w:pPr>
      <w:r>
        <w:rPr>
          <w:rFonts w:hint="eastAsia" w:ascii="宋体" w:hAnsi="宋体"/>
          <w:sz w:val="24"/>
        </w:rPr>
        <w:t>4、产品生产企业的生产和食品卫生许可证、通过食品QS质量体系认证等有效证书。</w:t>
      </w:r>
    </w:p>
    <w:p>
      <w:pPr>
        <w:ind w:left="420"/>
        <w:rPr>
          <w:rFonts w:ascii="宋体" w:hAnsi="宋体"/>
          <w:sz w:val="24"/>
        </w:rPr>
      </w:pPr>
    </w:p>
    <w:p>
      <w:pPr>
        <w:ind w:left="420"/>
        <w:rPr>
          <w:rFonts w:ascii="宋体" w:hAnsi="宋体"/>
          <w:sz w:val="24"/>
        </w:rPr>
      </w:pPr>
    </w:p>
    <w:p>
      <w:pPr>
        <w:ind w:left="420"/>
        <w:rPr>
          <w:rFonts w:ascii="宋体" w:hAnsi="宋体"/>
          <w:sz w:val="24"/>
        </w:rPr>
      </w:pPr>
    </w:p>
    <w:p>
      <w:pPr>
        <w:ind w:left="420"/>
        <w:rPr>
          <w:rFonts w:ascii="宋体" w:hAnsi="宋体"/>
          <w:sz w:val="24"/>
        </w:rPr>
      </w:pPr>
    </w:p>
    <w:p>
      <w:pPr>
        <w:rPr>
          <w:rFonts w:ascii="宋体" w:hAnsi="宋体"/>
          <w:b/>
          <w:sz w:val="32"/>
          <w:szCs w:val="32"/>
        </w:rPr>
      </w:pPr>
      <w:r>
        <w:rPr>
          <w:rFonts w:hint="eastAsia" w:ascii="宋体" w:hAnsi="宋体"/>
          <w:b/>
          <w:sz w:val="32"/>
          <w:szCs w:val="32"/>
        </w:rPr>
        <w:t>（五）业绩证明文件</w:t>
      </w:r>
    </w:p>
    <w:p>
      <w:pPr>
        <w:rPr>
          <w:rFonts w:ascii="宋体" w:hAnsi="宋体"/>
          <w:b/>
          <w:sz w:val="32"/>
          <w:szCs w:val="32"/>
        </w:rPr>
      </w:pPr>
    </w:p>
    <w:p>
      <w:pPr>
        <w:ind w:left="420"/>
        <w:rPr>
          <w:rFonts w:ascii="宋体" w:hAnsi="宋体"/>
          <w:sz w:val="24"/>
        </w:rPr>
      </w:pPr>
      <w:r>
        <w:rPr>
          <w:rFonts w:hint="eastAsia" w:ascii="宋体" w:hAnsi="宋体"/>
          <w:sz w:val="24"/>
        </w:rPr>
        <w:t>1、供应合同复印件</w:t>
      </w:r>
      <w:r>
        <w:rPr>
          <w:rFonts w:ascii="宋体" w:hAnsi="宋体"/>
          <w:sz w:val="24"/>
        </w:rPr>
        <w:t>……</w:t>
      </w:r>
    </w:p>
    <w:p>
      <w:pPr>
        <w:ind w:left="420"/>
        <w:rPr>
          <w:rFonts w:ascii="宋体" w:hAnsi="宋体"/>
          <w:sz w:val="24"/>
        </w:rPr>
      </w:pPr>
      <w:r>
        <w:rPr>
          <w:rFonts w:hint="eastAsia" w:ascii="宋体" w:hAnsi="宋体"/>
          <w:sz w:val="24"/>
        </w:rPr>
        <w:t>2、其他业绩证明文件</w:t>
      </w:r>
      <w:r>
        <w:rPr>
          <w:rFonts w:ascii="宋体" w:hAnsi="宋体"/>
          <w:sz w:val="24"/>
        </w:rPr>
        <w:t>……</w:t>
      </w:r>
    </w:p>
    <w:p/>
    <w:sectPr>
      <w:headerReference r:id="rId3" w:type="default"/>
      <w:footerReference r:id="rId4" w:type="default"/>
      <w:footerReference r:id="rId5" w:type="even"/>
      <w:pgSz w:w="11906" w:h="16838"/>
      <w:pgMar w:top="1361" w:right="1646" w:bottom="1361"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ourier New">
    <w:panose1 w:val="02070309020205020404"/>
    <w:charset w:val="00"/>
    <w:family w:val="modern"/>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2</w:t>
    </w:r>
    <w:r>
      <w:rPr>
        <w:rStyle w:val="8"/>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00" w:lineRule="auto"/>
      <w:rPr>
        <w:rFonts w:ascii="宋体" w:hAnsi="宋体"/>
        <w:snapToGrid w:val="0"/>
        <w:kern w:val="0"/>
        <w:sz w:val="44"/>
        <w:u w:val="single"/>
      </w:rPr>
    </w:pPr>
    <w:r>
      <w:rPr>
        <w:rFonts w:hint="eastAsia" w:ascii="宋体" w:hAnsi="宋体"/>
        <w:snapToGrid w:val="0"/>
        <w:spacing w:val="-24"/>
        <w:kern w:val="0"/>
        <w:szCs w:val="21"/>
        <w:u w:val="single"/>
      </w:rPr>
      <w:t>广东石油化工学院学生食堂大米、面粉及 食用油2016-2017年度协议供货采购招标项目                            MMC2016A023T</w:t>
    </w:r>
  </w:p>
  <w:p>
    <w:pPr>
      <w:pStyle w:val="6"/>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30CFC"/>
    <w:multiLevelType w:val="multilevel"/>
    <w:tmpl w:val="1A130CFC"/>
    <w:lvl w:ilvl="0" w:tentative="0">
      <w:start w:val="1"/>
      <w:numFmt w:val="japaneseCounting"/>
      <w:lvlText w:val="（%1）"/>
      <w:lvlJc w:val="left"/>
      <w:pPr>
        <w:tabs>
          <w:tab w:val="left" w:pos="1695"/>
        </w:tabs>
        <w:ind w:left="1695"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A6B53E6"/>
    <w:multiLevelType w:val="multilevel"/>
    <w:tmpl w:val="3A6B53E6"/>
    <w:lvl w:ilvl="0" w:tentative="0">
      <w:start w:val="1"/>
      <w:numFmt w:val="japaneseCounting"/>
      <w:lvlText w:val="%1、"/>
      <w:lvlJc w:val="left"/>
      <w:pPr>
        <w:tabs>
          <w:tab w:val="left" w:pos="1110"/>
        </w:tabs>
        <w:ind w:left="1110" w:hanging="570"/>
      </w:pPr>
    </w:lvl>
    <w:lvl w:ilvl="1" w:tentative="0">
      <w:start w:val="1"/>
      <w:numFmt w:val="japaneseCounting"/>
      <w:lvlText w:val="（%2）"/>
      <w:lvlJc w:val="left"/>
      <w:pPr>
        <w:tabs>
          <w:tab w:val="left" w:pos="1590"/>
        </w:tabs>
        <w:ind w:left="1590" w:hanging="720"/>
      </w:pPr>
    </w:lvl>
    <w:lvl w:ilvl="2" w:tentative="0">
      <w:start w:val="1"/>
      <w:numFmt w:val="decimal"/>
      <w:lvlText w:val="%3."/>
      <w:lvlJc w:val="left"/>
      <w:pPr>
        <w:tabs>
          <w:tab w:val="left" w:pos="2130"/>
        </w:tabs>
        <w:ind w:left="2130" w:hanging="360"/>
      </w:pPr>
    </w:lvl>
    <w:lvl w:ilvl="3" w:tentative="0">
      <w:start w:val="1"/>
      <w:numFmt w:val="decimal"/>
      <w:lvlText w:val="%4."/>
      <w:lvlJc w:val="left"/>
      <w:pPr>
        <w:tabs>
          <w:tab w:val="left" w:pos="2850"/>
        </w:tabs>
        <w:ind w:left="2850" w:hanging="360"/>
      </w:pPr>
    </w:lvl>
    <w:lvl w:ilvl="4" w:tentative="0">
      <w:start w:val="1"/>
      <w:numFmt w:val="decimal"/>
      <w:lvlText w:val="%5."/>
      <w:lvlJc w:val="left"/>
      <w:pPr>
        <w:tabs>
          <w:tab w:val="left" w:pos="3570"/>
        </w:tabs>
        <w:ind w:left="3570" w:hanging="360"/>
      </w:pPr>
    </w:lvl>
    <w:lvl w:ilvl="5" w:tentative="0">
      <w:start w:val="1"/>
      <w:numFmt w:val="decimal"/>
      <w:lvlText w:val="%6."/>
      <w:lvlJc w:val="left"/>
      <w:pPr>
        <w:tabs>
          <w:tab w:val="left" w:pos="4290"/>
        </w:tabs>
        <w:ind w:left="4290" w:hanging="360"/>
      </w:pPr>
    </w:lvl>
    <w:lvl w:ilvl="6" w:tentative="0">
      <w:start w:val="1"/>
      <w:numFmt w:val="decimal"/>
      <w:lvlText w:val="%7."/>
      <w:lvlJc w:val="left"/>
      <w:pPr>
        <w:tabs>
          <w:tab w:val="left" w:pos="5010"/>
        </w:tabs>
        <w:ind w:left="5010" w:hanging="360"/>
      </w:pPr>
    </w:lvl>
    <w:lvl w:ilvl="7" w:tentative="0">
      <w:start w:val="1"/>
      <w:numFmt w:val="decimal"/>
      <w:lvlText w:val="%8."/>
      <w:lvlJc w:val="left"/>
      <w:pPr>
        <w:tabs>
          <w:tab w:val="left" w:pos="5730"/>
        </w:tabs>
        <w:ind w:left="5730" w:hanging="360"/>
      </w:pPr>
    </w:lvl>
    <w:lvl w:ilvl="8" w:tentative="0">
      <w:start w:val="1"/>
      <w:numFmt w:val="decimal"/>
      <w:lvlText w:val="%9."/>
      <w:lvlJc w:val="left"/>
      <w:pPr>
        <w:tabs>
          <w:tab w:val="left" w:pos="6450"/>
        </w:tabs>
        <w:ind w:left="6450" w:hanging="360"/>
      </w:pPr>
    </w:lvl>
  </w:abstractNum>
  <w:abstractNum w:abstractNumId="2">
    <w:nsid w:val="5A37323F"/>
    <w:multiLevelType w:val="multilevel"/>
    <w:tmpl w:val="5A37323F"/>
    <w:lvl w:ilvl="0" w:tentative="0">
      <w:start w:val="1"/>
      <w:numFmt w:val="japaneseCounting"/>
      <w:lvlText w:val="%1、"/>
      <w:lvlJc w:val="left"/>
      <w:pPr>
        <w:tabs>
          <w:tab w:val="left" w:pos="1260"/>
        </w:tabs>
        <w:ind w:left="1260" w:hanging="720"/>
      </w:pPr>
      <w:rPr>
        <w:rFonts w:ascii="Times New Roman" w:hAnsi="Times New Roman" w:eastAsia="Times New Roman" w:cs="Times New Roman"/>
      </w:rPr>
    </w:lvl>
    <w:lvl w:ilvl="1" w:tentative="0">
      <w:start w:val="1"/>
      <w:numFmt w:val="decimal"/>
      <w:lvlText w:val="（%2）"/>
      <w:lvlJc w:val="left"/>
      <w:pPr>
        <w:tabs>
          <w:tab w:val="left" w:pos="2040"/>
        </w:tabs>
        <w:ind w:left="2040" w:hanging="1080"/>
      </w:pPr>
      <w:rPr>
        <w:rFonts w:hint="default"/>
      </w:r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3">
    <w:nsid w:val="64F42860"/>
    <w:multiLevelType w:val="multilevel"/>
    <w:tmpl w:val="64F4286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86B6BE6"/>
    <w:multiLevelType w:val="multilevel"/>
    <w:tmpl w:val="786B6BE6"/>
    <w:lvl w:ilvl="0" w:tentative="0">
      <w:start w:val="1"/>
      <w:numFmt w:val="decimal"/>
      <w:lvlText w:val="（%1）"/>
      <w:lvlJc w:val="left"/>
      <w:pPr>
        <w:tabs>
          <w:tab w:val="left" w:pos="900"/>
        </w:tabs>
        <w:ind w:left="900" w:hanging="720"/>
      </w:pPr>
      <w:rPr>
        <w:rFonts w:hint="eastAsia"/>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5">
    <w:nsid w:val="7FDB4571"/>
    <w:multiLevelType w:val="multilevel"/>
    <w:tmpl w:val="7FDB457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5"/>
  </w:num>
  <w:num w:numId="3">
    <w:abstractNumId w:val="4"/>
  </w:num>
  <w:num w:numId="4">
    <w:abstractNumId w:val="1"/>
    <w:lvlOverride w:ilvl="0">
      <w:startOverride w:val="1"/>
    </w:lvlOverride>
  </w:num>
  <w:num w:numId="5">
    <w:abstractNumId w:val="0"/>
    <w:lvlOverride w:ilvl="0">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6A0F"/>
    <w:rsid w:val="0000144D"/>
    <w:rsid w:val="00026A0F"/>
    <w:rsid w:val="00083C3F"/>
    <w:rsid w:val="000D11E8"/>
    <w:rsid w:val="000E0FE2"/>
    <w:rsid w:val="00106AD1"/>
    <w:rsid w:val="001159E1"/>
    <w:rsid w:val="0019002E"/>
    <w:rsid w:val="00191FE1"/>
    <w:rsid w:val="001A5734"/>
    <w:rsid w:val="001A61CB"/>
    <w:rsid w:val="001E3561"/>
    <w:rsid w:val="00210DF6"/>
    <w:rsid w:val="00216E50"/>
    <w:rsid w:val="00223BAB"/>
    <w:rsid w:val="00256F16"/>
    <w:rsid w:val="00294063"/>
    <w:rsid w:val="002B07EF"/>
    <w:rsid w:val="002C27B5"/>
    <w:rsid w:val="00300412"/>
    <w:rsid w:val="0034333B"/>
    <w:rsid w:val="00385C49"/>
    <w:rsid w:val="00391093"/>
    <w:rsid w:val="003A1E6D"/>
    <w:rsid w:val="003B45BB"/>
    <w:rsid w:val="003C309A"/>
    <w:rsid w:val="003F512D"/>
    <w:rsid w:val="004C105F"/>
    <w:rsid w:val="004C2E93"/>
    <w:rsid w:val="004F3309"/>
    <w:rsid w:val="00500AF8"/>
    <w:rsid w:val="00514980"/>
    <w:rsid w:val="00571885"/>
    <w:rsid w:val="00580440"/>
    <w:rsid w:val="00594BE9"/>
    <w:rsid w:val="005B6F88"/>
    <w:rsid w:val="005C3025"/>
    <w:rsid w:val="005D1307"/>
    <w:rsid w:val="005E60D4"/>
    <w:rsid w:val="006C1B8E"/>
    <w:rsid w:val="006D7F44"/>
    <w:rsid w:val="00700A00"/>
    <w:rsid w:val="00783258"/>
    <w:rsid w:val="007B1F6A"/>
    <w:rsid w:val="007D244F"/>
    <w:rsid w:val="007E780A"/>
    <w:rsid w:val="00803649"/>
    <w:rsid w:val="00836E2D"/>
    <w:rsid w:val="00896CC8"/>
    <w:rsid w:val="008A0A15"/>
    <w:rsid w:val="008B5347"/>
    <w:rsid w:val="008D095E"/>
    <w:rsid w:val="0093685B"/>
    <w:rsid w:val="00953167"/>
    <w:rsid w:val="00957627"/>
    <w:rsid w:val="00976568"/>
    <w:rsid w:val="009A39F9"/>
    <w:rsid w:val="009C18C4"/>
    <w:rsid w:val="009C6F4B"/>
    <w:rsid w:val="00B14A5D"/>
    <w:rsid w:val="00B57AF1"/>
    <w:rsid w:val="00B84E64"/>
    <w:rsid w:val="00BB577C"/>
    <w:rsid w:val="00BE409D"/>
    <w:rsid w:val="00BE4463"/>
    <w:rsid w:val="00C364E4"/>
    <w:rsid w:val="00CA2858"/>
    <w:rsid w:val="00CD1E56"/>
    <w:rsid w:val="00CF71F5"/>
    <w:rsid w:val="00D46873"/>
    <w:rsid w:val="00D961DF"/>
    <w:rsid w:val="00DB4946"/>
    <w:rsid w:val="00DB5A5A"/>
    <w:rsid w:val="00E46928"/>
    <w:rsid w:val="00E86FEE"/>
    <w:rsid w:val="00F23135"/>
    <w:rsid w:val="00F402F8"/>
    <w:rsid w:val="00FC4028"/>
    <w:rsid w:val="043569E6"/>
    <w:rsid w:val="062D7C32"/>
    <w:rsid w:val="07354BD8"/>
    <w:rsid w:val="0D1B283C"/>
    <w:rsid w:val="0D580CCF"/>
    <w:rsid w:val="0E636FE2"/>
    <w:rsid w:val="1009565D"/>
    <w:rsid w:val="12EC4ECD"/>
    <w:rsid w:val="15F42192"/>
    <w:rsid w:val="17C80D7D"/>
    <w:rsid w:val="17F511BB"/>
    <w:rsid w:val="194954BC"/>
    <w:rsid w:val="1A0E6B32"/>
    <w:rsid w:val="1A107FD8"/>
    <w:rsid w:val="1B507F50"/>
    <w:rsid w:val="1C0E1306"/>
    <w:rsid w:val="1C671E34"/>
    <w:rsid w:val="1EAE1839"/>
    <w:rsid w:val="1F08599F"/>
    <w:rsid w:val="201476F0"/>
    <w:rsid w:val="20201EC2"/>
    <w:rsid w:val="2070418B"/>
    <w:rsid w:val="23363346"/>
    <w:rsid w:val="23453D4B"/>
    <w:rsid w:val="30974E99"/>
    <w:rsid w:val="32050668"/>
    <w:rsid w:val="327B0C25"/>
    <w:rsid w:val="32DA7E7D"/>
    <w:rsid w:val="32F364BF"/>
    <w:rsid w:val="339E5240"/>
    <w:rsid w:val="35511B33"/>
    <w:rsid w:val="35BC64C7"/>
    <w:rsid w:val="372A4FFB"/>
    <w:rsid w:val="379176AB"/>
    <w:rsid w:val="3BE44440"/>
    <w:rsid w:val="3CC67D07"/>
    <w:rsid w:val="3CE2661E"/>
    <w:rsid w:val="3D7A3FF3"/>
    <w:rsid w:val="3F67437C"/>
    <w:rsid w:val="3FF01F61"/>
    <w:rsid w:val="3FF232DE"/>
    <w:rsid w:val="402E7BC3"/>
    <w:rsid w:val="4278399C"/>
    <w:rsid w:val="44797505"/>
    <w:rsid w:val="46B57A83"/>
    <w:rsid w:val="49AA1FE8"/>
    <w:rsid w:val="4ADB15C7"/>
    <w:rsid w:val="4B3A3D73"/>
    <w:rsid w:val="4B84318A"/>
    <w:rsid w:val="4E176BC0"/>
    <w:rsid w:val="4E2621AD"/>
    <w:rsid w:val="54DE7749"/>
    <w:rsid w:val="568B2D7A"/>
    <w:rsid w:val="56C20339"/>
    <w:rsid w:val="587106B9"/>
    <w:rsid w:val="598C0409"/>
    <w:rsid w:val="5C767663"/>
    <w:rsid w:val="5C9C2FE3"/>
    <w:rsid w:val="5CE3198E"/>
    <w:rsid w:val="5E821CAB"/>
    <w:rsid w:val="60245E67"/>
    <w:rsid w:val="62867193"/>
    <w:rsid w:val="63027E6A"/>
    <w:rsid w:val="634A2CF1"/>
    <w:rsid w:val="637F5749"/>
    <w:rsid w:val="644B15A5"/>
    <w:rsid w:val="65813CC5"/>
    <w:rsid w:val="67F30197"/>
    <w:rsid w:val="6A3C4858"/>
    <w:rsid w:val="6BFE38B3"/>
    <w:rsid w:val="6D530F3B"/>
    <w:rsid w:val="6E9B2B83"/>
    <w:rsid w:val="71163195"/>
    <w:rsid w:val="740D1C47"/>
    <w:rsid w:val="763C32DB"/>
    <w:rsid w:val="76B344CD"/>
    <w:rsid w:val="780F2CA7"/>
    <w:rsid w:val="79753CD1"/>
    <w:rsid w:val="7BF33E55"/>
    <w:rsid w:val="7C60727A"/>
    <w:rsid w:val="7D1144BC"/>
    <w:rsid w:val="7D9D7924"/>
    <w:rsid w:val="7ED82012"/>
    <w:rsid w:val="7FA174DC"/>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15"/>
    <w:qFormat/>
    <w:uiPriority w:val="0"/>
    <w:rPr>
      <w:rFonts w:ascii="宋体" w:hAnsi="Courier New"/>
      <w:kern w:val="0"/>
      <w:sz w:val="20"/>
      <w:szCs w:val="20"/>
    </w:rPr>
  </w:style>
  <w:style w:type="paragraph" w:styleId="3">
    <w:name w:val="Date"/>
    <w:basedOn w:val="1"/>
    <w:next w:val="1"/>
    <w:link w:val="14"/>
    <w:qFormat/>
    <w:uiPriority w:val="0"/>
    <w:rPr>
      <w:rFonts w:ascii="宋体" w:hAnsi="Courier New"/>
      <w:sz w:val="32"/>
      <w:szCs w:val="20"/>
    </w:rPr>
  </w:style>
  <w:style w:type="paragraph" w:styleId="4">
    <w:name w:val="Balloon Text"/>
    <w:basedOn w:val="1"/>
    <w:link w:val="16"/>
    <w:unhideWhenUsed/>
    <w:qFormat/>
    <w:uiPriority w:val="99"/>
    <w:rPr>
      <w:sz w:val="18"/>
      <w:szCs w:val="18"/>
    </w:rPr>
  </w:style>
  <w:style w:type="paragraph" w:styleId="5">
    <w:name w:val="footer"/>
    <w:basedOn w:val="1"/>
    <w:link w:val="12"/>
    <w:unhideWhenUsed/>
    <w:qFormat/>
    <w:uiPriority w:val="0"/>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页眉 Char"/>
    <w:basedOn w:val="7"/>
    <w:link w:val="6"/>
    <w:qFormat/>
    <w:uiPriority w:val="99"/>
    <w:rPr>
      <w:sz w:val="18"/>
      <w:szCs w:val="18"/>
    </w:rPr>
  </w:style>
  <w:style w:type="character" w:customStyle="1" w:styleId="12">
    <w:name w:val="页脚 Char"/>
    <w:basedOn w:val="7"/>
    <w:link w:val="5"/>
    <w:semiHidden/>
    <w:qFormat/>
    <w:uiPriority w:val="99"/>
    <w:rPr>
      <w:sz w:val="18"/>
      <w:szCs w:val="18"/>
    </w:rPr>
  </w:style>
  <w:style w:type="character" w:customStyle="1" w:styleId="13">
    <w:name w:val="纯文本 Char"/>
    <w:basedOn w:val="7"/>
    <w:link w:val="2"/>
    <w:semiHidden/>
    <w:qFormat/>
    <w:uiPriority w:val="99"/>
    <w:rPr>
      <w:rFonts w:ascii="宋体" w:hAnsi="Courier New" w:eastAsia="宋体" w:cs="Courier New"/>
      <w:szCs w:val="21"/>
    </w:rPr>
  </w:style>
  <w:style w:type="character" w:customStyle="1" w:styleId="14">
    <w:name w:val="日期 Char"/>
    <w:basedOn w:val="7"/>
    <w:link w:val="3"/>
    <w:qFormat/>
    <w:uiPriority w:val="0"/>
    <w:rPr>
      <w:rFonts w:ascii="宋体" w:hAnsi="Courier New" w:eastAsia="宋体" w:cs="Times New Roman"/>
      <w:sz w:val="32"/>
      <w:szCs w:val="20"/>
    </w:rPr>
  </w:style>
  <w:style w:type="character" w:customStyle="1" w:styleId="15">
    <w:name w:val="纯文本 Char1"/>
    <w:link w:val="2"/>
    <w:qFormat/>
    <w:uiPriority w:val="0"/>
    <w:rPr>
      <w:rFonts w:ascii="宋体" w:hAnsi="Courier New" w:eastAsia="宋体" w:cs="Times New Roman"/>
      <w:szCs w:val="20"/>
    </w:rPr>
  </w:style>
  <w:style w:type="character" w:customStyle="1" w:styleId="16">
    <w:name w:val="批注框文本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B01B5A-3910-4B46-9E72-41F139733A2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1325</Words>
  <Characters>7556</Characters>
  <Lines>62</Lines>
  <Paragraphs>17</Paragraphs>
  <ScaleCrop>false</ScaleCrop>
  <LinksUpToDate>false</LinksUpToDate>
  <CharactersWithSpaces>8864</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2015-03-13T09:07:00Z</dcterms:created>
  <dc:creator>陈铨禄</dc:creator>
  <cp:lastModifiedBy>Administrator</cp:lastModifiedBy>
  <cp:lastPrinted>2016-07-25T03:24:00Z</cp:lastPrinted>
  <dcterms:modified xsi:type="dcterms:W3CDTF">2016-07-26T04:26:55Z</dcterms:modified>
  <dc:title>广东石油化工学院学生食堂大米、面粉及食用油</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